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C5135" w14:textId="0592C8BE" w:rsidR="00554B34" w:rsidRPr="00554B34" w:rsidRDefault="00554B34" w:rsidP="00554B34">
      <w:pPr>
        <w:spacing w:line="240" w:lineRule="auto"/>
        <w:jc w:val="both"/>
        <w:rPr>
          <w:rFonts w:ascii="Arial" w:hAnsi="Arial" w:cs="Arial"/>
          <w:b/>
          <w:bCs/>
          <w:sz w:val="24"/>
          <w:szCs w:val="24"/>
        </w:rPr>
      </w:pPr>
      <w:r w:rsidRPr="00554B34">
        <w:rPr>
          <w:rFonts w:ascii="Arial" w:hAnsi="Arial" w:cs="Arial"/>
          <w:b/>
          <w:bCs/>
          <w:sz w:val="24"/>
          <w:szCs w:val="24"/>
        </w:rPr>
        <w:t xml:space="preserve">EL IMPACTO DE LA DEUDA EN LA ECONOMIA ARGENTINA </w:t>
      </w:r>
    </w:p>
    <w:p w14:paraId="151C37B9" w14:textId="4268B45B" w:rsidR="00AD7663" w:rsidRPr="00554B34" w:rsidRDefault="00AD7663" w:rsidP="00554B34">
      <w:pPr>
        <w:pStyle w:val="Prrafodelista"/>
        <w:numPr>
          <w:ilvl w:val="0"/>
          <w:numId w:val="13"/>
        </w:numPr>
        <w:spacing w:line="240" w:lineRule="auto"/>
        <w:jc w:val="both"/>
        <w:rPr>
          <w:rFonts w:ascii="Arial" w:hAnsi="Arial" w:cs="Arial"/>
          <w:sz w:val="24"/>
          <w:szCs w:val="24"/>
        </w:rPr>
      </w:pPr>
      <w:r w:rsidRPr="00554B34">
        <w:rPr>
          <w:rFonts w:ascii="Arial" w:hAnsi="Arial" w:cs="Arial"/>
          <w:sz w:val="24"/>
          <w:szCs w:val="24"/>
          <w:shd w:val="clear" w:color="auto" w:fill="FFFFFF"/>
        </w:rPr>
        <w:t xml:space="preserve">El gobierno de los Milei aumentó la deuda pública en 97.114 millones de dólares en 13 meses, </w:t>
      </w:r>
      <w:r w:rsidRPr="00554B34">
        <w:rPr>
          <w:rFonts w:ascii="Arial" w:hAnsi="Arial" w:cs="Arial"/>
          <w:sz w:val="24"/>
          <w:szCs w:val="24"/>
        </w:rPr>
        <w:t>cifra récord, no hubo gobierno alguno, ni el de Mauricio Macri en el año 2018 con la deuda exorbitante con el FMI, que acrecentara la misma por ese monto y en ese plazo, para ganancia de los bonistas (principalmente grandes fondos financieros del exterior), mientras se cierran empresas, aumenta la desocupación, bajan los salarios, jubilaciones y pensiones, y se incrementa la pobreza. Y ni el Congreso de la Nación, ni la Justicia Argentina se pregunta cómo se generó esa deuda.</w:t>
      </w:r>
    </w:p>
    <w:p w14:paraId="76926668" w14:textId="4AEE6597" w:rsidR="00AD7663" w:rsidRPr="00FD6830" w:rsidRDefault="00AD7663" w:rsidP="00AD7663">
      <w:pPr>
        <w:pStyle w:val="Prrafodelista"/>
        <w:numPr>
          <w:ilvl w:val="0"/>
          <w:numId w:val="13"/>
        </w:numPr>
        <w:spacing w:line="240" w:lineRule="auto"/>
        <w:jc w:val="both"/>
        <w:rPr>
          <w:rFonts w:ascii="Arial" w:hAnsi="Arial" w:cs="Arial"/>
          <w:sz w:val="24"/>
          <w:szCs w:val="24"/>
        </w:rPr>
      </w:pPr>
      <w:r w:rsidRPr="00FD6830">
        <w:rPr>
          <w:rFonts w:ascii="Arial" w:hAnsi="Arial" w:cs="Arial"/>
          <w:sz w:val="24"/>
          <w:szCs w:val="24"/>
        </w:rPr>
        <w:t>Porque tampoco se preguntaron como aumentó la deuda en los gobiernos de Mauricio Macri y Alberto Fernández en 147.971 millones de dólares. Con ese nivel de endeudamiento y no se recuperó el río Paraná ni los puertos que se tienen sobre el río, no se creó una marina mercante estatal, no se construyó un millón de viviendas, etc. etc., dado que la deuda pública nacional era de 222.703 millones de dólares cuando finalizó el gobierno de Cristina Fernández de Kirchner (el 60% de la misma era intra sector público, en poder del Fondo de Garantía de Sustentabilidad de la ANSeS, de los bancos oficiales, de distintos fondos fiduciarios argentinos, etc.) y pasó a ser de 370.674 millones de dólares en diciembre de 2023 (principalmente los acreedores son el FMI y el capital financiero con base en Manhattan).</w:t>
      </w:r>
    </w:p>
    <w:tbl>
      <w:tblPr>
        <w:tblW w:w="0" w:type="auto"/>
        <w:tblInd w:w="889" w:type="dxa"/>
        <w:tblLayout w:type="fixed"/>
        <w:tblCellMar>
          <w:left w:w="70" w:type="dxa"/>
          <w:right w:w="70" w:type="dxa"/>
        </w:tblCellMar>
        <w:tblLook w:val="0000" w:firstRow="0" w:lastRow="0" w:firstColumn="0" w:lastColumn="0" w:noHBand="0" w:noVBand="0"/>
      </w:tblPr>
      <w:tblGrid>
        <w:gridCol w:w="2803"/>
        <w:gridCol w:w="1611"/>
        <w:gridCol w:w="1579"/>
        <w:gridCol w:w="1836"/>
      </w:tblGrid>
      <w:tr w:rsidR="004C2173" w14:paraId="6B34812D" w14:textId="77777777" w:rsidTr="004C2173">
        <w:trPr>
          <w:trHeight w:val="305"/>
        </w:trPr>
        <w:tc>
          <w:tcPr>
            <w:tcW w:w="7829" w:type="dxa"/>
            <w:gridSpan w:val="4"/>
            <w:tcBorders>
              <w:top w:val="nil"/>
              <w:left w:val="nil"/>
              <w:bottom w:val="nil"/>
              <w:right w:val="nil"/>
            </w:tcBorders>
          </w:tcPr>
          <w:p w14:paraId="5D504358" w14:textId="77777777" w:rsidR="004C2173" w:rsidRDefault="004C2173" w:rsidP="00887D4B">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DEUDA BRUTA ADMINISTRACION  NACIONAL FEBRERO 2025</w:t>
            </w:r>
          </w:p>
        </w:tc>
      </w:tr>
      <w:tr w:rsidR="004C2173" w14:paraId="22CD20A2" w14:textId="77777777" w:rsidTr="004C2173">
        <w:trPr>
          <w:trHeight w:val="305"/>
        </w:trPr>
        <w:tc>
          <w:tcPr>
            <w:tcW w:w="2803" w:type="dxa"/>
            <w:tcBorders>
              <w:top w:val="nil"/>
              <w:left w:val="nil"/>
              <w:bottom w:val="nil"/>
              <w:right w:val="nil"/>
            </w:tcBorders>
          </w:tcPr>
          <w:p w14:paraId="584C7F00" w14:textId="77777777" w:rsidR="004C2173" w:rsidRDefault="004C2173" w:rsidP="00887D4B">
            <w:pPr>
              <w:autoSpaceDE w:val="0"/>
              <w:autoSpaceDN w:val="0"/>
              <w:adjustRightInd w:val="0"/>
              <w:spacing w:after="0" w:line="240" w:lineRule="auto"/>
              <w:jc w:val="right"/>
              <w:rPr>
                <w:color w:val="000000"/>
              </w:rPr>
            </w:pPr>
          </w:p>
        </w:tc>
        <w:tc>
          <w:tcPr>
            <w:tcW w:w="1611" w:type="dxa"/>
            <w:tcBorders>
              <w:top w:val="nil"/>
              <w:left w:val="nil"/>
              <w:bottom w:val="nil"/>
              <w:right w:val="nil"/>
            </w:tcBorders>
          </w:tcPr>
          <w:p w14:paraId="09B11352" w14:textId="77777777" w:rsidR="004C2173" w:rsidRDefault="004C2173" w:rsidP="00887D4B">
            <w:pPr>
              <w:autoSpaceDE w:val="0"/>
              <w:autoSpaceDN w:val="0"/>
              <w:adjustRightInd w:val="0"/>
              <w:spacing w:after="0" w:line="240" w:lineRule="auto"/>
              <w:jc w:val="right"/>
              <w:rPr>
                <w:color w:val="000000"/>
              </w:rPr>
            </w:pPr>
          </w:p>
        </w:tc>
        <w:tc>
          <w:tcPr>
            <w:tcW w:w="1579" w:type="dxa"/>
            <w:tcBorders>
              <w:top w:val="nil"/>
              <w:left w:val="nil"/>
              <w:bottom w:val="nil"/>
              <w:right w:val="nil"/>
            </w:tcBorders>
          </w:tcPr>
          <w:p w14:paraId="693EEEFA" w14:textId="77777777" w:rsidR="004C2173" w:rsidRDefault="004C2173" w:rsidP="00887D4B">
            <w:pPr>
              <w:autoSpaceDE w:val="0"/>
              <w:autoSpaceDN w:val="0"/>
              <w:adjustRightInd w:val="0"/>
              <w:spacing w:after="0" w:line="240" w:lineRule="auto"/>
              <w:jc w:val="right"/>
              <w:rPr>
                <w:color w:val="000000"/>
              </w:rPr>
            </w:pPr>
          </w:p>
        </w:tc>
        <w:tc>
          <w:tcPr>
            <w:tcW w:w="1836" w:type="dxa"/>
            <w:tcBorders>
              <w:top w:val="nil"/>
              <w:left w:val="nil"/>
              <w:bottom w:val="nil"/>
              <w:right w:val="nil"/>
            </w:tcBorders>
          </w:tcPr>
          <w:p w14:paraId="2E62E3E2" w14:textId="77777777" w:rsidR="004C2173" w:rsidRDefault="004C2173" w:rsidP="00887D4B">
            <w:pPr>
              <w:autoSpaceDE w:val="0"/>
              <w:autoSpaceDN w:val="0"/>
              <w:adjustRightInd w:val="0"/>
              <w:spacing w:after="0" w:line="240" w:lineRule="auto"/>
              <w:jc w:val="right"/>
              <w:rPr>
                <w:color w:val="000000"/>
              </w:rPr>
            </w:pPr>
          </w:p>
        </w:tc>
      </w:tr>
      <w:tr w:rsidR="004C2173" w14:paraId="584B7AFD" w14:textId="77777777" w:rsidTr="004C2173">
        <w:trPr>
          <w:trHeight w:val="638"/>
        </w:trPr>
        <w:tc>
          <w:tcPr>
            <w:tcW w:w="2803" w:type="dxa"/>
            <w:tcBorders>
              <w:top w:val="single" w:sz="18" w:space="0" w:color="auto"/>
              <w:left w:val="single" w:sz="18" w:space="0" w:color="auto"/>
              <w:bottom w:val="single" w:sz="12" w:space="0" w:color="auto"/>
              <w:right w:val="single" w:sz="12" w:space="0" w:color="auto"/>
            </w:tcBorders>
          </w:tcPr>
          <w:p w14:paraId="32699DED" w14:textId="77777777" w:rsidR="004C2173" w:rsidRDefault="004C2173" w:rsidP="00887D4B">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INSTRUMENTO </w:t>
            </w:r>
          </w:p>
        </w:tc>
        <w:tc>
          <w:tcPr>
            <w:tcW w:w="1611" w:type="dxa"/>
            <w:tcBorders>
              <w:top w:val="single" w:sz="18" w:space="0" w:color="auto"/>
              <w:left w:val="nil"/>
              <w:bottom w:val="single" w:sz="12" w:space="0" w:color="auto"/>
              <w:right w:val="single" w:sz="12" w:space="0" w:color="auto"/>
            </w:tcBorders>
          </w:tcPr>
          <w:p w14:paraId="18DC53FC" w14:textId="77777777" w:rsidR="004C2173" w:rsidRDefault="004C2173" w:rsidP="00887D4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dic-23</w:t>
            </w:r>
          </w:p>
        </w:tc>
        <w:tc>
          <w:tcPr>
            <w:tcW w:w="1579" w:type="dxa"/>
            <w:tcBorders>
              <w:top w:val="single" w:sz="18" w:space="0" w:color="auto"/>
              <w:left w:val="nil"/>
              <w:bottom w:val="single" w:sz="12" w:space="0" w:color="auto"/>
              <w:right w:val="single" w:sz="12" w:space="0" w:color="auto"/>
            </w:tcBorders>
          </w:tcPr>
          <w:p w14:paraId="578E9794" w14:textId="77777777" w:rsidR="004C2173" w:rsidRDefault="004C2173" w:rsidP="00887D4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feb-25</w:t>
            </w:r>
          </w:p>
        </w:tc>
        <w:tc>
          <w:tcPr>
            <w:tcW w:w="1836" w:type="dxa"/>
            <w:tcBorders>
              <w:top w:val="single" w:sz="18" w:space="0" w:color="auto"/>
              <w:left w:val="nil"/>
              <w:bottom w:val="single" w:sz="12" w:space="0" w:color="auto"/>
              <w:right w:val="single" w:sz="18" w:space="0" w:color="auto"/>
            </w:tcBorders>
          </w:tcPr>
          <w:p w14:paraId="1459E8FA" w14:textId="77777777" w:rsidR="004C2173" w:rsidRDefault="004C2173" w:rsidP="00887D4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AUMENTO DEUDA</w:t>
            </w:r>
          </w:p>
        </w:tc>
      </w:tr>
      <w:tr w:rsidR="004C2173" w14:paraId="4D22E683" w14:textId="77777777" w:rsidTr="004C2173">
        <w:trPr>
          <w:trHeight w:val="305"/>
        </w:trPr>
        <w:tc>
          <w:tcPr>
            <w:tcW w:w="2803" w:type="dxa"/>
            <w:tcBorders>
              <w:top w:val="nil"/>
              <w:left w:val="single" w:sz="18" w:space="0" w:color="auto"/>
              <w:bottom w:val="single" w:sz="12" w:space="0" w:color="auto"/>
              <w:right w:val="single" w:sz="12" w:space="0" w:color="auto"/>
            </w:tcBorders>
          </w:tcPr>
          <w:p w14:paraId="62BA1047" w14:textId="77777777" w:rsidR="004C2173" w:rsidRDefault="004C2173" w:rsidP="00887D4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Moneda  Nacional </w:t>
            </w:r>
          </w:p>
        </w:tc>
        <w:tc>
          <w:tcPr>
            <w:tcW w:w="1611" w:type="dxa"/>
            <w:tcBorders>
              <w:top w:val="nil"/>
              <w:left w:val="nil"/>
              <w:bottom w:val="single" w:sz="12" w:space="0" w:color="auto"/>
              <w:right w:val="single" w:sz="12" w:space="0" w:color="auto"/>
            </w:tcBorders>
          </w:tcPr>
          <w:p w14:paraId="170F61DE" w14:textId="77777777" w:rsidR="004C2173" w:rsidRDefault="004C2173" w:rsidP="00887D4B">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85.520</w:t>
            </w:r>
          </w:p>
        </w:tc>
        <w:tc>
          <w:tcPr>
            <w:tcW w:w="1579" w:type="dxa"/>
            <w:tcBorders>
              <w:top w:val="nil"/>
              <w:left w:val="nil"/>
              <w:bottom w:val="single" w:sz="12" w:space="0" w:color="auto"/>
              <w:right w:val="single" w:sz="12" w:space="0" w:color="auto"/>
            </w:tcBorders>
          </w:tcPr>
          <w:p w14:paraId="442A2E9B" w14:textId="77777777" w:rsidR="004C2173" w:rsidRDefault="004C2173" w:rsidP="00887D4B">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151.382</w:t>
            </w:r>
          </w:p>
        </w:tc>
        <w:tc>
          <w:tcPr>
            <w:tcW w:w="1836" w:type="dxa"/>
            <w:tcBorders>
              <w:top w:val="nil"/>
              <w:left w:val="nil"/>
              <w:bottom w:val="single" w:sz="12" w:space="0" w:color="auto"/>
              <w:right w:val="single" w:sz="18" w:space="0" w:color="auto"/>
            </w:tcBorders>
          </w:tcPr>
          <w:p w14:paraId="214AC98D" w14:textId="77777777" w:rsidR="004C2173" w:rsidRDefault="004C2173" w:rsidP="00887D4B">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65.862</w:t>
            </w:r>
          </w:p>
        </w:tc>
      </w:tr>
      <w:tr w:rsidR="004C2173" w14:paraId="2577A4B9" w14:textId="77777777" w:rsidTr="004C2173">
        <w:trPr>
          <w:trHeight w:val="305"/>
        </w:trPr>
        <w:tc>
          <w:tcPr>
            <w:tcW w:w="2803" w:type="dxa"/>
            <w:tcBorders>
              <w:top w:val="nil"/>
              <w:left w:val="single" w:sz="18" w:space="0" w:color="auto"/>
              <w:bottom w:val="single" w:sz="12" w:space="0" w:color="auto"/>
              <w:right w:val="single" w:sz="12" w:space="0" w:color="auto"/>
            </w:tcBorders>
          </w:tcPr>
          <w:p w14:paraId="4EF20395" w14:textId="77777777" w:rsidR="004C2173" w:rsidRDefault="004C2173" w:rsidP="00887D4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Moneda Extranjera</w:t>
            </w:r>
          </w:p>
        </w:tc>
        <w:tc>
          <w:tcPr>
            <w:tcW w:w="1611" w:type="dxa"/>
            <w:tcBorders>
              <w:top w:val="nil"/>
              <w:left w:val="nil"/>
              <w:bottom w:val="single" w:sz="12" w:space="0" w:color="auto"/>
              <w:right w:val="single" w:sz="12" w:space="0" w:color="auto"/>
            </w:tcBorders>
          </w:tcPr>
          <w:p w14:paraId="35805CB9" w14:textId="77777777" w:rsidR="004C2173" w:rsidRDefault="004C2173" w:rsidP="00887D4B">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177.891</w:t>
            </w:r>
          </w:p>
        </w:tc>
        <w:tc>
          <w:tcPr>
            <w:tcW w:w="1579" w:type="dxa"/>
            <w:tcBorders>
              <w:top w:val="nil"/>
              <w:left w:val="nil"/>
              <w:bottom w:val="single" w:sz="12" w:space="0" w:color="auto"/>
              <w:right w:val="single" w:sz="12" w:space="0" w:color="auto"/>
            </w:tcBorders>
          </w:tcPr>
          <w:p w14:paraId="1871E6C6" w14:textId="77777777" w:rsidR="004C2173" w:rsidRDefault="004C2173" w:rsidP="00887D4B">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165.996</w:t>
            </w:r>
          </w:p>
        </w:tc>
        <w:tc>
          <w:tcPr>
            <w:tcW w:w="1836" w:type="dxa"/>
            <w:tcBorders>
              <w:top w:val="nil"/>
              <w:left w:val="nil"/>
              <w:bottom w:val="single" w:sz="12" w:space="0" w:color="auto"/>
              <w:right w:val="single" w:sz="18" w:space="0" w:color="auto"/>
            </w:tcBorders>
          </w:tcPr>
          <w:p w14:paraId="64AEEAEE" w14:textId="77777777" w:rsidR="004C2173" w:rsidRDefault="004C2173" w:rsidP="00887D4B">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-11.895</w:t>
            </w:r>
          </w:p>
        </w:tc>
      </w:tr>
      <w:tr w:rsidR="004C2173" w14:paraId="696E5C58" w14:textId="77777777" w:rsidTr="004C2173">
        <w:trPr>
          <w:trHeight w:val="305"/>
        </w:trPr>
        <w:tc>
          <w:tcPr>
            <w:tcW w:w="2803" w:type="dxa"/>
            <w:tcBorders>
              <w:top w:val="nil"/>
              <w:left w:val="single" w:sz="18" w:space="0" w:color="auto"/>
              <w:bottom w:val="single" w:sz="12" w:space="0" w:color="auto"/>
              <w:right w:val="single" w:sz="12" w:space="0" w:color="auto"/>
            </w:tcBorders>
          </w:tcPr>
          <w:p w14:paraId="79F71523" w14:textId="77777777" w:rsidR="004C2173" w:rsidRDefault="004C2173" w:rsidP="00887D4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Créditos recibidos</w:t>
            </w:r>
          </w:p>
        </w:tc>
        <w:tc>
          <w:tcPr>
            <w:tcW w:w="1611" w:type="dxa"/>
            <w:tcBorders>
              <w:top w:val="nil"/>
              <w:left w:val="nil"/>
              <w:bottom w:val="single" w:sz="12" w:space="0" w:color="auto"/>
              <w:right w:val="single" w:sz="12" w:space="0" w:color="auto"/>
            </w:tcBorders>
          </w:tcPr>
          <w:p w14:paraId="16F2C7F1" w14:textId="77777777" w:rsidR="004C2173" w:rsidRDefault="004C2173" w:rsidP="00887D4B">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82.240</w:t>
            </w:r>
          </w:p>
        </w:tc>
        <w:tc>
          <w:tcPr>
            <w:tcW w:w="1579" w:type="dxa"/>
            <w:tcBorders>
              <w:top w:val="nil"/>
              <w:left w:val="nil"/>
              <w:bottom w:val="single" w:sz="12" w:space="0" w:color="auto"/>
              <w:right w:val="single" w:sz="12" w:space="0" w:color="auto"/>
            </w:tcBorders>
          </w:tcPr>
          <w:p w14:paraId="7AED3580" w14:textId="77777777" w:rsidR="004C2173" w:rsidRDefault="004C2173" w:rsidP="00887D4B">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83.018</w:t>
            </w:r>
          </w:p>
        </w:tc>
        <w:tc>
          <w:tcPr>
            <w:tcW w:w="1836" w:type="dxa"/>
            <w:tcBorders>
              <w:top w:val="nil"/>
              <w:left w:val="nil"/>
              <w:bottom w:val="single" w:sz="12" w:space="0" w:color="auto"/>
              <w:right w:val="single" w:sz="18" w:space="0" w:color="auto"/>
            </w:tcBorders>
          </w:tcPr>
          <w:p w14:paraId="792A5E3E" w14:textId="77777777" w:rsidR="004C2173" w:rsidRDefault="004C2173" w:rsidP="00887D4B">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778</w:t>
            </w:r>
          </w:p>
        </w:tc>
      </w:tr>
      <w:tr w:rsidR="004C2173" w14:paraId="05C8AA05" w14:textId="77777777" w:rsidTr="004C2173">
        <w:trPr>
          <w:trHeight w:val="305"/>
        </w:trPr>
        <w:tc>
          <w:tcPr>
            <w:tcW w:w="2803" w:type="dxa"/>
            <w:tcBorders>
              <w:top w:val="nil"/>
              <w:left w:val="single" w:sz="18" w:space="0" w:color="auto"/>
              <w:bottom w:val="single" w:sz="12" w:space="0" w:color="auto"/>
              <w:right w:val="single" w:sz="12" w:space="0" w:color="auto"/>
            </w:tcBorders>
          </w:tcPr>
          <w:p w14:paraId="49D9847E" w14:textId="77777777" w:rsidR="004C2173" w:rsidRDefault="004C2173" w:rsidP="00887D4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Otros</w:t>
            </w:r>
          </w:p>
        </w:tc>
        <w:tc>
          <w:tcPr>
            <w:tcW w:w="1611" w:type="dxa"/>
            <w:tcBorders>
              <w:top w:val="nil"/>
              <w:left w:val="nil"/>
              <w:bottom w:val="single" w:sz="12" w:space="0" w:color="auto"/>
              <w:right w:val="single" w:sz="12" w:space="0" w:color="auto"/>
            </w:tcBorders>
          </w:tcPr>
          <w:p w14:paraId="38BCBE86" w14:textId="77777777" w:rsidR="004C2173" w:rsidRDefault="004C2173" w:rsidP="00887D4B">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25.023</w:t>
            </w:r>
          </w:p>
        </w:tc>
        <w:tc>
          <w:tcPr>
            <w:tcW w:w="1579" w:type="dxa"/>
            <w:tcBorders>
              <w:top w:val="nil"/>
              <w:left w:val="nil"/>
              <w:bottom w:val="single" w:sz="12" w:space="0" w:color="auto"/>
              <w:right w:val="single" w:sz="12" w:space="0" w:color="auto"/>
            </w:tcBorders>
          </w:tcPr>
          <w:p w14:paraId="3BE5F1F9" w14:textId="77777777" w:rsidR="004C2173" w:rsidRDefault="004C2173" w:rsidP="00887D4B">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70.753</w:t>
            </w:r>
          </w:p>
        </w:tc>
        <w:tc>
          <w:tcPr>
            <w:tcW w:w="1836" w:type="dxa"/>
            <w:tcBorders>
              <w:top w:val="nil"/>
              <w:left w:val="nil"/>
              <w:bottom w:val="single" w:sz="12" w:space="0" w:color="auto"/>
              <w:right w:val="single" w:sz="18" w:space="0" w:color="auto"/>
            </w:tcBorders>
          </w:tcPr>
          <w:p w14:paraId="7F80A862" w14:textId="77777777" w:rsidR="004C2173" w:rsidRDefault="004C2173" w:rsidP="00887D4B">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45.730</w:t>
            </w:r>
          </w:p>
        </w:tc>
      </w:tr>
      <w:tr w:rsidR="004C2173" w14:paraId="34DDDB07" w14:textId="77777777" w:rsidTr="004C2173">
        <w:trPr>
          <w:trHeight w:val="624"/>
        </w:trPr>
        <w:tc>
          <w:tcPr>
            <w:tcW w:w="2803" w:type="dxa"/>
            <w:tcBorders>
              <w:top w:val="nil"/>
              <w:left w:val="single" w:sz="18" w:space="0" w:color="auto"/>
              <w:bottom w:val="single" w:sz="18" w:space="0" w:color="auto"/>
              <w:right w:val="single" w:sz="12" w:space="0" w:color="auto"/>
            </w:tcBorders>
          </w:tcPr>
          <w:p w14:paraId="7E2F4360" w14:textId="77777777" w:rsidR="004C2173" w:rsidRDefault="004C2173" w:rsidP="00887D4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TOTAL DEUDA BRUTA</w:t>
            </w:r>
          </w:p>
        </w:tc>
        <w:tc>
          <w:tcPr>
            <w:tcW w:w="1611" w:type="dxa"/>
            <w:tcBorders>
              <w:top w:val="nil"/>
              <w:left w:val="nil"/>
              <w:bottom w:val="single" w:sz="18" w:space="0" w:color="auto"/>
              <w:right w:val="single" w:sz="12" w:space="0" w:color="auto"/>
            </w:tcBorders>
          </w:tcPr>
          <w:p w14:paraId="7638B79A" w14:textId="77777777" w:rsidR="004C2173" w:rsidRDefault="004C2173" w:rsidP="00887D4B">
            <w:pPr>
              <w:autoSpaceDE w:val="0"/>
              <w:autoSpaceDN w:val="0"/>
              <w:adjustRightInd w:val="0"/>
              <w:spacing w:after="0" w:line="240" w:lineRule="auto"/>
              <w:jc w:val="right"/>
              <w:rPr>
                <w:rFonts w:ascii="Arial" w:hAnsi="Arial" w:cs="Arial"/>
                <w:b/>
                <w:bCs/>
                <w:color w:val="000000"/>
                <w:sz w:val="24"/>
                <w:szCs w:val="24"/>
              </w:rPr>
            </w:pPr>
            <w:r>
              <w:rPr>
                <w:rFonts w:ascii="Arial" w:hAnsi="Arial" w:cs="Arial"/>
                <w:b/>
                <w:bCs/>
                <w:color w:val="000000"/>
                <w:sz w:val="24"/>
                <w:szCs w:val="24"/>
              </w:rPr>
              <w:t>370.674</w:t>
            </w:r>
          </w:p>
        </w:tc>
        <w:tc>
          <w:tcPr>
            <w:tcW w:w="1579" w:type="dxa"/>
            <w:tcBorders>
              <w:top w:val="nil"/>
              <w:left w:val="nil"/>
              <w:bottom w:val="single" w:sz="18" w:space="0" w:color="auto"/>
              <w:right w:val="single" w:sz="12" w:space="0" w:color="auto"/>
            </w:tcBorders>
          </w:tcPr>
          <w:p w14:paraId="78E8875A" w14:textId="77777777" w:rsidR="004C2173" w:rsidRDefault="004C2173" w:rsidP="00887D4B">
            <w:pPr>
              <w:autoSpaceDE w:val="0"/>
              <w:autoSpaceDN w:val="0"/>
              <w:adjustRightInd w:val="0"/>
              <w:spacing w:after="0" w:line="240" w:lineRule="auto"/>
              <w:jc w:val="right"/>
              <w:rPr>
                <w:rFonts w:ascii="Arial" w:hAnsi="Arial" w:cs="Arial"/>
                <w:b/>
                <w:bCs/>
                <w:color w:val="000000"/>
                <w:sz w:val="24"/>
                <w:szCs w:val="24"/>
              </w:rPr>
            </w:pPr>
            <w:r>
              <w:rPr>
                <w:rFonts w:ascii="Arial" w:hAnsi="Arial" w:cs="Arial"/>
                <w:b/>
                <w:bCs/>
                <w:color w:val="000000"/>
                <w:sz w:val="24"/>
                <w:szCs w:val="24"/>
              </w:rPr>
              <w:t>471.150</w:t>
            </w:r>
          </w:p>
        </w:tc>
        <w:tc>
          <w:tcPr>
            <w:tcW w:w="1836" w:type="dxa"/>
            <w:tcBorders>
              <w:top w:val="nil"/>
              <w:left w:val="nil"/>
              <w:bottom w:val="single" w:sz="18" w:space="0" w:color="auto"/>
              <w:right w:val="single" w:sz="12" w:space="0" w:color="auto"/>
            </w:tcBorders>
          </w:tcPr>
          <w:p w14:paraId="0B9D8401" w14:textId="77777777" w:rsidR="004C2173" w:rsidRDefault="004C2173" w:rsidP="00887D4B">
            <w:pPr>
              <w:autoSpaceDE w:val="0"/>
              <w:autoSpaceDN w:val="0"/>
              <w:adjustRightInd w:val="0"/>
              <w:spacing w:after="0" w:line="240" w:lineRule="auto"/>
              <w:jc w:val="right"/>
              <w:rPr>
                <w:rFonts w:ascii="Arial" w:hAnsi="Arial" w:cs="Arial"/>
                <w:b/>
                <w:bCs/>
                <w:color w:val="000000"/>
                <w:sz w:val="24"/>
                <w:szCs w:val="24"/>
              </w:rPr>
            </w:pPr>
            <w:r>
              <w:rPr>
                <w:rFonts w:ascii="Arial" w:hAnsi="Arial" w:cs="Arial"/>
                <w:b/>
                <w:bCs/>
                <w:color w:val="000000"/>
                <w:sz w:val="24"/>
                <w:szCs w:val="24"/>
              </w:rPr>
              <w:t>100.476</w:t>
            </w:r>
          </w:p>
        </w:tc>
      </w:tr>
      <w:tr w:rsidR="004C2173" w14:paraId="774D6894" w14:textId="77777777" w:rsidTr="004C2173">
        <w:trPr>
          <w:trHeight w:val="305"/>
        </w:trPr>
        <w:tc>
          <w:tcPr>
            <w:tcW w:w="2803" w:type="dxa"/>
            <w:tcBorders>
              <w:top w:val="nil"/>
              <w:left w:val="nil"/>
              <w:bottom w:val="nil"/>
              <w:right w:val="nil"/>
            </w:tcBorders>
          </w:tcPr>
          <w:p w14:paraId="3E286C04" w14:textId="77777777" w:rsidR="004C2173" w:rsidRDefault="004C2173" w:rsidP="00887D4B">
            <w:pPr>
              <w:autoSpaceDE w:val="0"/>
              <w:autoSpaceDN w:val="0"/>
              <w:adjustRightInd w:val="0"/>
              <w:spacing w:after="0" w:line="240" w:lineRule="auto"/>
              <w:jc w:val="right"/>
              <w:rPr>
                <w:color w:val="000000"/>
              </w:rPr>
            </w:pPr>
          </w:p>
        </w:tc>
        <w:tc>
          <w:tcPr>
            <w:tcW w:w="1611" w:type="dxa"/>
            <w:tcBorders>
              <w:top w:val="nil"/>
              <w:left w:val="nil"/>
              <w:bottom w:val="nil"/>
              <w:right w:val="nil"/>
            </w:tcBorders>
          </w:tcPr>
          <w:p w14:paraId="2FC4B271" w14:textId="77777777" w:rsidR="004C2173" w:rsidRDefault="004C2173" w:rsidP="00887D4B">
            <w:pPr>
              <w:autoSpaceDE w:val="0"/>
              <w:autoSpaceDN w:val="0"/>
              <w:adjustRightInd w:val="0"/>
              <w:spacing w:after="0" w:line="240" w:lineRule="auto"/>
              <w:jc w:val="right"/>
              <w:rPr>
                <w:color w:val="000000"/>
              </w:rPr>
            </w:pPr>
          </w:p>
        </w:tc>
        <w:tc>
          <w:tcPr>
            <w:tcW w:w="1579" w:type="dxa"/>
            <w:tcBorders>
              <w:top w:val="nil"/>
              <w:left w:val="nil"/>
              <w:bottom w:val="nil"/>
              <w:right w:val="nil"/>
            </w:tcBorders>
          </w:tcPr>
          <w:p w14:paraId="27FE5C7D" w14:textId="77777777" w:rsidR="004C2173" w:rsidRDefault="004C2173" w:rsidP="00887D4B">
            <w:pPr>
              <w:autoSpaceDE w:val="0"/>
              <w:autoSpaceDN w:val="0"/>
              <w:adjustRightInd w:val="0"/>
              <w:spacing w:after="0" w:line="240" w:lineRule="auto"/>
              <w:jc w:val="right"/>
              <w:rPr>
                <w:color w:val="000000"/>
              </w:rPr>
            </w:pPr>
          </w:p>
        </w:tc>
        <w:tc>
          <w:tcPr>
            <w:tcW w:w="1836" w:type="dxa"/>
            <w:tcBorders>
              <w:top w:val="nil"/>
              <w:left w:val="nil"/>
              <w:bottom w:val="nil"/>
              <w:right w:val="nil"/>
            </w:tcBorders>
          </w:tcPr>
          <w:p w14:paraId="642EED2B" w14:textId="77777777" w:rsidR="004C2173" w:rsidRDefault="004C2173" w:rsidP="00887D4B">
            <w:pPr>
              <w:autoSpaceDE w:val="0"/>
              <w:autoSpaceDN w:val="0"/>
              <w:adjustRightInd w:val="0"/>
              <w:spacing w:after="0" w:line="240" w:lineRule="auto"/>
              <w:jc w:val="right"/>
              <w:rPr>
                <w:color w:val="000000"/>
              </w:rPr>
            </w:pPr>
          </w:p>
        </w:tc>
      </w:tr>
      <w:tr w:rsidR="004C2173" w14:paraId="5E865C17" w14:textId="77777777" w:rsidTr="004C2173">
        <w:trPr>
          <w:trHeight w:val="290"/>
        </w:trPr>
        <w:tc>
          <w:tcPr>
            <w:tcW w:w="4414" w:type="dxa"/>
            <w:gridSpan w:val="2"/>
            <w:tcBorders>
              <w:top w:val="nil"/>
              <w:left w:val="nil"/>
              <w:bottom w:val="nil"/>
              <w:right w:val="nil"/>
            </w:tcBorders>
          </w:tcPr>
          <w:p w14:paraId="6FB1ED6C" w14:textId="77777777" w:rsidR="004C2173" w:rsidRDefault="004C2173" w:rsidP="00887D4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Nota: En millones de dólares</w:t>
            </w:r>
          </w:p>
        </w:tc>
        <w:tc>
          <w:tcPr>
            <w:tcW w:w="1579" w:type="dxa"/>
            <w:tcBorders>
              <w:top w:val="nil"/>
              <w:left w:val="nil"/>
              <w:bottom w:val="nil"/>
              <w:right w:val="nil"/>
            </w:tcBorders>
          </w:tcPr>
          <w:p w14:paraId="17EE4B96" w14:textId="77777777" w:rsidR="004C2173" w:rsidRDefault="004C2173" w:rsidP="00887D4B">
            <w:pPr>
              <w:autoSpaceDE w:val="0"/>
              <w:autoSpaceDN w:val="0"/>
              <w:adjustRightInd w:val="0"/>
              <w:spacing w:after="0" w:line="240" w:lineRule="auto"/>
              <w:jc w:val="right"/>
              <w:rPr>
                <w:rFonts w:ascii="Arial" w:hAnsi="Arial" w:cs="Arial"/>
                <w:color w:val="000000"/>
                <w:sz w:val="20"/>
                <w:szCs w:val="20"/>
              </w:rPr>
            </w:pPr>
          </w:p>
        </w:tc>
        <w:tc>
          <w:tcPr>
            <w:tcW w:w="1836" w:type="dxa"/>
            <w:tcBorders>
              <w:top w:val="nil"/>
              <w:left w:val="nil"/>
              <w:bottom w:val="nil"/>
              <w:right w:val="nil"/>
            </w:tcBorders>
          </w:tcPr>
          <w:p w14:paraId="2BD67D01" w14:textId="77777777" w:rsidR="004C2173" w:rsidRDefault="004C2173" w:rsidP="00887D4B">
            <w:pPr>
              <w:autoSpaceDE w:val="0"/>
              <w:autoSpaceDN w:val="0"/>
              <w:adjustRightInd w:val="0"/>
              <w:spacing w:after="0" w:line="240" w:lineRule="auto"/>
              <w:jc w:val="right"/>
              <w:rPr>
                <w:color w:val="000000"/>
              </w:rPr>
            </w:pPr>
          </w:p>
        </w:tc>
      </w:tr>
      <w:tr w:rsidR="004C2173" w14:paraId="68B227D5" w14:textId="77777777" w:rsidTr="004C2173">
        <w:trPr>
          <w:trHeight w:val="290"/>
        </w:trPr>
        <w:tc>
          <w:tcPr>
            <w:tcW w:w="7829" w:type="dxa"/>
            <w:gridSpan w:val="4"/>
            <w:tcBorders>
              <w:top w:val="nil"/>
              <w:left w:val="nil"/>
              <w:bottom w:val="nil"/>
              <w:right w:val="nil"/>
            </w:tcBorders>
          </w:tcPr>
          <w:p w14:paraId="6387B831" w14:textId="77777777" w:rsidR="004C2173" w:rsidRDefault="004C2173" w:rsidP="00887D4B">
            <w:pPr>
              <w:autoSpaceDE w:val="0"/>
              <w:autoSpaceDN w:val="0"/>
              <w:adjustRightInd w:val="0"/>
              <w:spacing w:after="0" w:line="240" w:lineRule="auto"/>
              <w:rPr>
                <w:color w:val="000000"/>
              </w:rPr>
            </w:pPr>
            <w:r>
              <w:rPr>
                <w:color w:val="000000"/>
              </w:rPr>
              <w:t>Otros:  Principalmente Letras de Tesoro de corto plazo  y LeFi[1]</w:t>
            </w:r>
          </w:p>
        </w:tc>
      </w:tr>
      <w:tr w:rsidR="004C2173" w14:paraId="1142335F" w14:textId="77777777" w:rsidTr="004C2173">
        <w:trPr>
          <w:trHeight w:val="290"/>
        </w:trPr>
        <w:tc>
          <w:tcPr>
            <w:tcW w:w="4414" w:type="dxa"/>
            <w:gridSpan w:val="2"/>
            <w:tcBorders>
              <w:top w:val="nil"/>
              <w:left w:val="nil"/>
              <w:bottom w:val="nil"/>
              <w:right w:val="nil"/>
            </w:tcBorders>
          </w:tcPr>
          <w:p w14:paraId="15AF1622" w14:textId="77777777" w:rsidR="004C2173" w:rsidRDefault="004C2173" w:rsidP="00887D4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Fuente: Secretaría de Finanzas de la Nación</w:t>
            </w:r>
          </w:p>
        </w:tc>
        <w:tc>
          <w:tcPr>
            <w:tcW w:w="1579" w:type="dxa"/>
            <w:tcBorders>
              <w:top w:val="nil"/>
              <w:left w:val="nil"/>
              <w:bottom w:val="nil"/>
              <w:right w:val="nil"/>
            </w:tcBorders>
          </w:tcPr>
          <w:p w14:paraId="78F0E493" w14:textId="77777777" w:rsidR="004C2173" w:rsidRDefault="004C2173" w:rsidP="00887D4B">
            <w:pPr>
              <w:autoSpaceDE w:val="0"/>
              <w:autoSpaceDN w:val="0"/>
              <w:adjustRightInd w:val="0"/>
              <w:spacing w:after="0" w:line="240" w:lineRule="auto"/>
              <w:jc w:val="right"/>
              <w:rPr>
                <w:rFonts w:ascii="Arial" w:hAnsi="Arial" w:cs="Arial"/>
                <w:color w:val="000000"/>
                <w:sz w:val="20"/>
                <w:szCs w:val="20"/>
              </w:rPr>
            </w:pPr>
          </w:p>
        </w:tc>
        <w:tc>
          <w:tcPr>
            <w:tcW w:w="1836" w:type="dxa"/>
            <w:tcBorders>
              <w:top w:val="nil"/>
              <w:left w:val="nil"/>
              <w:bottom w:val="nil"/>
              <w:right w:val="nil"/>
            </w:tcBorders>
          </w:tcPr>
          <w:p w14:paraId="4C7DCD85" w14:textId="77777777" w:rsidR="004C2173" w:rsidRDefault="004C2173" w:rsidP="00887D4B">
            <w:pPr>
              <w:autoSpaceDE w:val="0"/>
              <w:autoSpaceDN w:val="0"/>
              <w:adjustRightInd w:val="0"/>
              <w:spacing w:after="0" w:line="240" w:lineRule="auto"/>
              <w:jc w:val="right"/>
              <w:rPr>
                <w:color w:val="000000"/>
              </w:rPr>
            </w:pPr>
          </w:p>
        </w:tc>
      </w:tr>
      <w:tr w:rsidR="004C2173" w14:paraId="6F302165" w14:textId="77777777" w:rsidTr="004C2173">
        <w:trPr>
          <w:trHeight w:val="290"/>
        </w:trPr>
        <w:tc>
          <w:tcPr>
            <w:tcW w:w="7829" w:type="dxa"/>
            <w:gridSpan w:val="4"/>
            <w:tcBorders>
              <w:top w:val="nil"/>
              <w:left w:val="nil"/>
              <w:bottom w:val="nil"/>
              <w:right w:val="nil"/>
            </w:tcBorders>
          </w:tcPr>
          <w:p w14:paraId="33B98500" w14:textId="77777777" w:rsidR="004C2173" w:rsidRDefault="004C2173" w:rsidP="00887D4B">
            <w:pPr>
              <w:autoSpaceDE w:val="0"/>
              <w:autoSpaceDN w:val="0"/>
              <w:adjustRightInd w:val="0"/>
              <w:spacing w:after="0" w:line="240" w:lineRule="auto"/>
              <w:rPr>
                <w:color w:val="000000"/>
              </w:rPr>
            </w:pPr>
            <w:r>
              <w:rPr>
                <w:color w:val="000000"/>
              </w:rPr>
              <w:t>[1] Letras Fiscales, son los títulos que el Tesoro de la Nación emitió</w:t>
            </w:r>
          </w:p>
        </w:tc>
      </w:tr>
      <w:tr w:rsidR="004C2173" w14:paraId="1507CC76" w14:textId="77777777" w:rsidTr="004C2173">
        <w:trPr>
          <w:trHeight w:val="290"/>
        </w:trPr>
        <w:tc>
          <w:tcPr>
            <w:tcW w:w="7829" w:type="dxa"/>
            <w:gridSpan w:val="4"/>
            <w:tcBorders>
              <w:top w:val="nil"/>
              <w:left w:val="nil"/>
              <w:bottom w:val="nil"/>
              <w:right w:val="nil"/>
            </w:tcBorders>
          </w:tcPr>
          <w:p w14:paraId="247E1C13" w14:textId="77777777" w:rsidR="004C2173" w:rsidRDefault="004C2173" w:rsidP="00887D4B">
            <w:pPr>
              <w:autoSpaceDE w:val="0"/>
              <w:autoSpaceDN w:val="0"/>
              <w:adjustRightInd w:val="0"/>
              <w:spacing w:after="0" w:line="240" w:lineRule="auto"/>
              <w:rPr>
                <w:color w:val="000000"/>
              </w:rPr>
            </w:pPr>
            <w:r>
              <w:rPr>
                <w:color w:val="000000"/>
              </w:rPr>
              <w:t xml:space="preserve"> para cambiarlos por Leliq y Notaliq, que eran títulos  de deuda del BCRA, </w:t>
            </w:r>
          </w:p>
        </w:tc>
      </w:tr>
      <w:tr w:rsidR="004C2173" w14:paraId="3F3693D6" w14:textId="77777777" w:rsidTr="004C2173">
        <w:trPr>
          <w:trHeight w:val="290"/>
        </w:trPr>
        <w:tc>
          <w:tcPr>
            <w:tcW w:w="5993" w:type="dxa"/>
            <w:gridSpan w:val="3"/>
            <w:tcBorders>
              <w:top w:val="nil"/>
              <w:left w:val="nil"/>
              <w:bottom w:val="nil"/>
              <w:right w:val="nil"/>
            </w:tcBorders>
          </w:tcPr>
          <w:p w14:paraId="673B9040" w14:textId="77777777" w:rsidR="004C2173" w:rsidRDefault="004C2173" w:rsidP="00887D4B">
            <w:pPr>
              <w:autoSpaceDE w:val="0"/>
              <w:autoSpaceDN w:val="0"/>
              <w:adjustRightInd w:val="0"/>
              <w:spacing w:after="0" w:line="240" w:lineRule="auto"/>
              <w:rPr>
                <w:color w:val="000000"/>
              </w:rPr>
            </w:pPr>
            <w:r>
              <w:rPr>
                <w:color w:val="000000"/>
              </w:rPr>
              <w:t xml:space="preserve">aumentado la deuda pública  (Tesoro) nacional </w:t>
            </w:r>
          </w:p>
        </w:tc>
        <w:tc>
          <w:tcPr>
            <w:tcW w:w="1836" w:type="dxa"/>
            <w:tcBorders>
              <w:top w:val="nil"/>
              <w:left w:val="nil"/>
              <w:bottom w:val="nil"/>
              <w:right w:val="nil"/>
            </w:tcBorders>
          </w:tcPr>
          <w:p w14:paraId="7319C8BB" w14:textId="77777777" w:rsidR="004C2173" w:rsidRDefault="004C2173" w:rsidP="00887D4B">
            <w:pPr>
              <w:autoSpaceDE w:val="0"/>
              <w:autoSpaceDN w:val="0"/>
              <w:adjustRightInd w:val="0"/>
              <w:spacing w:after="0" w:line="240" w:lineRule="auto"/>
              <w:jc w:val="right"/>
              <w:rPr>
                <w:color w:val="000000"/>
              </w:rPr>
            </w:pPr>
          </w:p>
        </w:tc>
      </w:tr>
    </w:tbl>
    <w:p w14:paraId="5C818B88" w14:textId="77777777" w:rsidR="00AD7663" w:rsidRDefault="00AD7663" w:rsidP="00AD7663">
      <w:pPr>
        <w:spacing w:line="240" w:lineRule="auto"/>
        <w:jc w:val="both"/>
        <w:rPr>
          <w:rFonts w:ascii="Arial" w:hAnsi="Arial" w:cs="Arial"/>
          <w:sz w:val="24"/>
          <w:szCs w:val="24"/>
          <w:shd w:val="clear" w:color="auto" w:fill="FFFFFF"/>
        </w:rPr>
      </w:pPr>
    </w:p>
    <w:p w14:paraId="70D2B659" w14:textId="209F8407" w:rsidR="00AD7663" w:rsidRPr="00FD6830" w:rsidRDefault="00FD6830" w:rsidP="00FD6830">
      <w:pPr>
        <w:pStyle w:val="Prrafodelista"/>
        <w:numPr>
          <w:ilvl w:val="0"/>
          <w:numId w:val="13"/>
        </w:numPr>
        <w:spacing w:line="240" w:lineRule="auto"/>
        <w:jc w:val="both"/>
        <w:rPr>
          <w:rFonts w:ascii="Arial" w:eastAsia="Arial" w:hAnsi="Arial" w:cs="Arial"/>
          <w:sz w:val="24"/>
          <w:szCs w:val="24"/>
        </w:rPr>
      </w:pPr>
      <w:r>
        <w:rPr>
          <w:rFonts w:ascii="Arial" w:hAnsi="Arial" w:cs="Arial"/>
          <w:sz w:val="24"/>
          <w:szCs w:val="24"/>
        </w:rPr>
        <w:t>El</w:t>
      </w:r>
      <w:r w:rsidR="00AD7663" w:rsidRPr="00FD6830">
        <w:rPr>
          <w:rFonts w:ascii="Arial" w:hAnsi="Arial" w:cs="Arial"/>
          <w:sz w:val="24"/>
          <w:szCs w:val="24"/>
        </w:rPr>
        <w:t xml:space="preserve"> gobierno </w:t>
      </w:r>
      <w:r>
        <w:rPr>
          <w:rFonts w:ascii="Arial" w:hAnsi="Arial" w:cs="Arial"/>
          <w:sz w:val="24"/>
          <w:szCs w:val="24"/>
        </w:rPr>
        <w:t>de los hermanos Milei para asegurar el precio del dólar</w:t>
      </w:r>
      <w:r w:rsidR="00AD7663" w:rsidRPr="00FD6830">
        <w:rPr>
          <w:rFonts w:ascii="Arial" w:hAnsi="Arial" w:cs="Arial"/>
          <w:sz w:val="24"/>
          <w:szCs w:val="24"/>
        </w:rPr>
        <w:t xml:space="preserve"> gastó </w:t>
      </w:r>
      <w:r w:rsidR="00D25796">
        <w:rPr>
          <w:rFonts w:ascii="Arial" w:hAnsi="Arial" w:cs="Arial"/>
          <w:sz w:val="24"/>
          <w:szCs w:val="24"/>
        </w:rPr>
        <w:t>al 28 de</w:t>
      </w:r>
      <w:r w:rsidR="00AD7663" w:rsidRPr="00FD6830">
        <w:rPr>
          <w:rFonts w:ascii="Arial" w:hAnsi="Arial" w:cs="Arial"/>
          <w:sz w:val="24"/>
          <w:szCs w:val="24"/>
        </w:rPr>
        <w:t xml:space="preserve"> febrero 2025, no menos de  22 mil millones de dólares.  En el año pasado casi 16.000 millones de dólares por el llamado “dólar blend” (que permite liquidar el 20% de las exportaciones en el mercado libre sin pagar derecho alguno y al precio del mercado CCL, y se declararon exportaciones por 79.721 millones de dólares), sistema que continúa este año y que el FMI le exige al gobierno su finalización.  A su vez en la creciente intervención directa del BCRA vendiendo dólares de las reservas internacionales y, del BCRA y del Tesoro, y desde el mes de febrero 2025 el FGS (Fondo de Garantía de Sustentabilidad </w:t>
      </w:r>
      <w:r w:rsidR="00AD7663" w:rsidRPr="00FD6830">
        <w:rPr>
          <w:rFonts w:ascii="Arial" w:eastAsia="Arial" w:hAnsi="Arial" w:cs="Arial"/>
          <w:sz w:val="24"/>
          <w:szCs w:val="24"/>
        </w:rPr>
        <w:t xml:space="preserve">de la ANSeS), </w:t>
      </w:r>
      <w:r w:rsidR="00AD7663" w:rsidRPr="00FD6830">
        <w:rPr>
          <w:rFonts w:ascii="Arial" w:hAnsi="Arial" w:cs="Arial"/>
          <w:sz w:val="24"/>
          <w:szCs w:val="24"/>
        </w:rPr>
        <w:t xml:space="preserve">vendiendo títulos en dólares, </w:t>
      </w:r>
      <w:r w:rsidR="00AD7663" w:rsidRPr="00FD6830">
        <w:rPr>
          <w:rFonts w:ascii="Arial" w:hAnsi="Arial" w:cs="Arial"/>
          <w:sz w:val="24"/>
          <w:szCs w:val="24"/>
        </w:rPr>
        <w:lastRenderedPageBreak/>
        <w:t xml:space="preserve">tras la designación como titular de la ANSeS de </w:t>
      </w:r>
      <w:r w:rsidR="00AD7663" w:rsidRPr="00FD6830">
        <w:rPr>
          <w:rFonts w:ascii="Arial" w:eastAsia="Arial" w:hAnsi="Arial" w:cs="Arial"/>
          <w:sz w:val="24"/>
          <w:szCs w:val="24"/>
        </w:rPr>
        <w:t>Fernando Bearzi (Sindico de “Noctua”, la sociedad off shore en la Isla Caimán que presidía Luis Caputo).</w:t>
      </w:r>
    </w:p>
    <w:p w14:paraId="7DC86E29" w14:textId="77777777" w:rsidR="00D26B79" w:rsidRDefault="00AD7663" w:rsidP="00D26B79">
      <w:pPr>
        <w:pStyle w:val="Prrafodelista"/>
        <w:numPr>
          <w:ilvl w:val="0"/>
          <w:numId w:val="13"/>
        </w:numPr>
        <w:spacing w:line="240" w:lineRule="auto"/>
        <w:jc w:val="both"/>
        <w:rPr>
          <w:rFonts w:ascii="Arial" w:hAnsi="Arial" w:cs="Arial"/>
          <w:sz w:val="24"/>
          <w:szCs w:val="24"/>
        </w:rPr>
      </w:pPr>
      <w:r w:rsidRPr="00D26B79">
        <w:rPr>
          <w:rFonts w:ascii="Arial" w:hAnsi="Arial" w:cs="Arial"/>
          <w:sz w:val="24"/>
          <w:szCs w:val="24"/>
        </w:rPr>
        <w:t xml:space="preserve">Se obtuvo un superávit comercial en el año 2024 de 18.889 millones de dólares, pero las reservas netas del BCRA son negativas en no menos de 6.000 millones de dólares. </w:t>
      </w:r>
    </w:p>
    <w:p w14:paraId="487CC92D" w14:textId="71B737BD" w:rsidR="00AD7663" w:rsidRPr="00D26B79" w:rsidRDefault="00AD7663" w:rsidP="00AD7663">
      <w:pPr>
        <w:pStyle w:val="Prrafodelista"/>
        <w:numPr>
          <w:ilvl w:val="0"/>
          <w:numId w:val="13"/>
        </w:numPr>
        <w:spacing w:line="240" w:lineRule="auto"/>
        <w:jc w:val="both"/>
        <w:rPr>
          <w:rFonts w:ascii="Arial" w:hAnsi="Arial" w:cs="Arial"/>
          <w:sz w:val="24"/>
          <w:szCs w:val="24"/>
        </w:rPr>
      </w:pPr>
      <w:r w:rsidRPr="00D26B79">
        <w:rPr>
          <w:rFonts w:ascii="Arial" w:hAnsi="Arial" w:cs="Arial"/>
          <w:sz w:val="24"/>
          <w:szCs w:val="24"/>
        </w:rPr>
        <w:t xml:space="preserve"> El gobierno desesperado por aumentar las exportaciones, permite la venta al exterior  de vacas vivas (ganado en pie), y para que ingresen dólares al BCRA, se autorizó a  los bancos a realizar préstamos en dólares a cualquier cliente (los dólares se cambian por pesos al tipo de cambio oficial por el BCRA), tanto empresas como personas, cuando desde la crisis del año 2001 solo podían prestarles a las firmas exportadoras o que tuvieran sus ingresos atados a las variaciones del dólar. Eso sí, los limita siempre que los bancos utilicen “dólares propios” (conseguidos a través de toma de deuda con el exterior vía obligaciones negociables o créditos) para prestarle a cualquier tipo de público, incluso a los que tienen sus ingresos totalmente en pesos.</w:t>
      </w:r>
      <w:r w:rsidRPr="00D26B79">
        <w:rPr>
          <w:rFonts w:ascii="Arial" w:eastAsia="Arial" w:hAnsi="Arial" w:cs="Arial"/>
          <w:sz w:val="24"/>
          <w:szCs w:val="24"/>
        </w:rPr>
        <w:t xml:space="preserve"> </w:t>
      </w:r>
    </w:p>
    <w:p w14:paraId="763E8C06" w14:textId="77777777" w:rsidR="00AD7663" w:rsidRDefault="00AD7663" w:rsidP="00AD7663">
      <w:pPr>
        <w:pStyle w:val="Prrafodelista"/>
        <w:numPr>
          <w:ilvl w:val="0"/>
          <w:numId w:val="13"/>
        </w:numPr>
        <w:spacing w:line="240" w:lineRule="auto"/>
        <w:jc w:val="both"/>
        <w:rPr>
          <w:rFonts w:ascii="Arial" w:hAnsi="Arial" w:cs="Arial"/>
          <w:sz w:val="24"/>
          <w:szCs w:val="24"/>
        </w:rPr>
      </w:pPr>
      <w:r w:rsidRPr="00D26B79">
        <w:rPr>
          <w:rFonts w:ascii="Arial" w:hAnsi="Arial" w:cs="Arial"/>
          <w:sz w:val="24"/>
          <w:szCs w:val="24"/>
        </w:rPr>
        <w:t>Paralela y contradictoriamente reduce los aranceles que con la paridad actual favorece las importaciones, por ende la mayor apertura comercial y las divisas destinadas a contener la brecha entre el dólar oficial y los financieros generan que la cuenta corriente de la Balanza de Pagos (que incluye los servicios financieros y reales</w:t>
      </w:r>
      <w:r>
        <w:rPr>
          <w:rStyle w:val="Refdenotaalpie"/>
          <w:rFonts w:ascii="Arial" w:hAnsi="Arial" w:cs="Arial"/>
          <w:sz w:val="24"/>
          <w:szCs w:val="24"/>
        </w:rPr>
        <w:footnoteReference w:id="1"/>
      </w:r>
      <w:r w:rsidRPr="00D26B79">
        <w:rPr>
          <w:rFonts w:ascii="Arial" w:hAnsi="Arial" w:cs="Arial"/>
          <w:sz w:val="24"/>
          <w:szCs w:val="24"/>
        </w:rPr>
        <w:t>) sea cada vez más negativo.</w:t>
      </w:r>
    </w:p>
    <w:p w14:paraId="588EC9B9" w14:textId="77777777" w:rsidR="00AD7663" w:rsidRDefault="00AD7663" w:rsidP="00AD7663">
      <w:pPr>
        <w:pStyle w:val="Prrafodelista"/>
        <w:numPr>
          <w:ilvl w:val="0"/>
          <w:numId w:val="13"/>
        </w:numPr>
        <w:spacing w:line="240" w:lineRule="auto"/>
        <w:jc w:val="both"/>
        <w:rPr>
          <w:rFonts w:ascii="Arial" w:hAnsi="Arial" w:cs="Arial"/>
          <w:sz w:val="24"/>
          <w:szCs w:val="24"/>
        </w:rPr>
      </w:pPr>
      <w:r w:rsidRPr="00D26B79">
        <w:rPr>
          <w:rFonts w:ascii="Arial" w:hAnsi="Arial" w:cs="Arial"/>
          <w:sz w:val="24"/>
          <w:szCs w:val="24"/>
        </w:rPr>
        <w:t>Sin ingresos genuinos y con un superávit fiscal logrado porque coloca LECAP y NOCAP que capitalizan y pagan intereses al vencimiento (los intereses capitalizables superaron el superávit fiscal primario del año 2024 y también el de enero 2025), por lo que no tienen para pagar bonos de  la deuda en pesos que este año superan los 90 billones, y tampoco para pagar los títulos de deuda en divisas (este año vencen títulos por 21.147 millones de dólares), que solo lo podrían hacer si se renuevan en gran parte esos vencimientos.</w:t>
      </w:r>
    </w:p>
    <w:p w14:paraId="6B82EEF9" w14:textId="4034DEF0" w:rsidR="00AD7663" w:rsidRDefault="00AD7663" w:rsidP="00AD7663">
      <w:pPr>
        <w:pStyle w:val="Prrafodelista"/>
        <w:numPr>
          <w:ilvl w:val="0"/>
          <w:numId w:val="13"/>
        </w:numPr>
        <w:spacing w:line="240" w:lineRule="auto"/>
        <w:jc w:val="both"/>
        <w:rPr>
          <w:rFonts w:ascii="Arial" w:hAnsi="Arial" w:cs="Arial"/>
          <w:sz w:val="24"/>
          <w:szCs w:val="24"/>
        </w:rPr>
      </w:pPr>
      <w:r w:rsidRPr="00D26B79">
        <w:rPr>
          <w:rFonts w:ascii="Arial" w:hAnsi="Arial" w:cs="Arial"/>
          <w:sz w:val="24"/>
          <w:szCs w:val="24"/>
        </w:rPr>
        <w:t xml:space="preserve">El gobierno está discutiendo con el FMI </w:t>
      </w:r>
      <w:r w:rsidRPr="00D26B79">
        <w:rPr>
          <w:rFonts w:ascii="Arial" w:hAnsi="Arial" w:cs="Arial"/>
          <w:sz w:val="24"/>
          <w:szCs w:val="24"/>
          <w:shd w:val="clear" w:color="auto" w:fill="FFFFFF"/>
        </w:rPr>
        <w:t>una ampliación del crédito (en el año 2018 se le había otorgado en DEG el equivalente a 57.000 millones de dólares e ingresaron 44.5</w:t>
      </w:r>
      <w:r w:rsidRPr="00D26B79">
        <w:rPr>
          <w:rFonts w:ascii="Arial" w:hAnsi="Arial" w:cs="Arial"/>
          <w:sz w:val="24"/>
          <w:szCs w:val="24"/>
        </w:rPr>
        <w:t>59,9 millones de dólares, ante claros incumplimientos del gobierno de Macri)</w:t>
      </w:r>
      <w:r w:rsidR="00D25796">
        <w:rPr>
          <w:rFonts w:ascii="Arial" w:hAnsi="Arial" w:cs="Arial"/>
          <w:sz w:val="24"/>
          <w:szCs w:val="24"/>
        </w:rPr>
        <w:t xml:space="preserve"> y </w:t>
      </w:r>
      <w:r w:rsidR="008130F1">
        <w:rPr>
          <w:rFonts w:ascii="Arial" w:hAnsi="Arial" w:cs="Arial"/>
          <w:sz w:val="24"/>
          <w:szCs w:val="24"/>
        </w:rPr>
        <w:t>solicitan</w:t>
      </w:r>
      <w:r w:rsidR="00D25796">
        <w:rPr>
          <w:rFonts w:ascii="Arial" w:hAnsi="Arial" w:cs="Arial"/>
          <w:sz w:val="24"/>
          <w:szCs w:val="24"/>
        </w:rPr>
        <w:t xml:space="preserve"> un refuerzo </w:t>
      </w:r>
      <w:r w:rsidR="008130F1">
        <w:rPr>
          <w:rFonts w:ascii="Arial" w:hAnsi="Arial" w:cs="Arial"/>
          <w:sz w:val="24"/>
          <w:szCs w:val="24"/>
        </w:rPr>
        <w:t>hasta alcanzar los 20.000 millones de dólares.</w:t>
      </w:r>
    </w:p>
    <w:p w14:paraId="5418CE61" w14:textId="119249E3" w:rsidR="008130F1" w:rsidRDefault="008130F1" w:rsidP="008130F1">
      <w:pPr>
        <w:pStyle w:val="Prrafodelista"/>
        <w:numPr>
          <w:ilvl w:val="0"/>
          <w:numId w:val="13"/>
        </w:numPr>
        <w:spacing w:line="240" w:lineRule="auto"/>
        <w:jc w:val="both"/>
        <w:rPr>
          <w:rFonts w:ascii="Arial" w:hAnsi="Arial" w:cs="Arial"/>
          <w:sz w:val="24"/>
          <w:szCs w:val="24"/>
        </w:rPr>
      </w:pPr>
      <w:r w:rsidRPr="008130F1">
        <w:rPr>
          <w:rFonts w:ascii="Arial" w:hAnsi="Arial" w:cs="Arial"/>
          <w:sz w:val="24"/>
          <w:szCs w:val="24"/>
        </w:rPr>
        <w:t>El problema se centra en que el gobierno no cumplió en el IV trimestre 2024 con el incremento de las reservas internacionales netas del BCRA</w:t>
      </w:r>
      <w:r>
        <w:rPr>
          <w:rFonts w:ascii="Arial" w:hAnsi="Arial" w:cs="Arial"/>
          <w:sz w:val="24"/>
          <w:szCs w:val="24"/>
        </w:rPr>
        <w:t>.</w:t>
      </w:r>
      <w:r w:rsidRPr="008130F1">
        <w:rPr>
          <w:rFonts w:ascii="Arial" w:hAnsi="Arial" w:cs="Arial"/>
          <w:sz w:val="24"/>
          <w:szCs w:val="24"/>
        </w:rPr>
        <w:t xml:space="preserve">  Y para que le amplíen el crédito debe cumplir con una serie de condiciones que el mismo gobierno de Javier Milei se niega a dar a conocer al Congreso de la Nación, quién debe aprobar la ampliación o el nuevo acuerdo tal lo dispone la ley 27.612 de </w:t>
      </w:r>
      <w:r>
        <w:rPr>
          <w:rFonts w:ascii="Arial" w:hAnsi="Arial" w:cs="Arial"/>
          <w:sz w:val="24"/>
          <w:szCs w:val="24"/>
        </w:rPr>
        <w:t>“</w:t>
      </w:r>
      <w:r w:rsidRPr="008130F1">
        <w:rPr>
          <w:rFonts w:ascii="Arial" w:hAnsi="Arial" w:cs="Arial"/>
          <w:sz w:val="24"/>
          <w:szCs w:val="24"/>
        </w:rPr>
        <w:t>Fortalecimiento de la Sostenibilidad de la Deuda Pública</w:t>
      </w:r>
      <w:r>
        <w:rPr>
          <w:rFonts w:ascii="Arial" w:hAnsi="Arial" w:cs="Arial"/>
          <w:sz w:val="24"/>
          <w:szCs w:val="24"/>
        </w:rPr>
        <w:t xml:space="preserve">” que </w:t>
      </w:r>
      <w:r w:rsidRPr="008130F1">
        <w:rPr>
          <w:rFonts w:ascii="Arial" w:hAnsi="Arial" w:cs="Arial"/>
          <w:sz w:val="24"/>
          <w:szCs w:val="24"/>
        </w:rPr>
        <w:t>establece en su artículo 3 que “todo programa de financiamiento u operación de crédito público realizado con el Fondo Monetario Internacional, así como también cualquier ampliación de los montos de esos programas u operaciones, requerirá de una ley del Honorable Congreso de la Nación que lo apruebe expresamente”.</w:t>
      </w:r>
    </w:p>
    <w:p w14:paraId="64D7934F" w14:textId="0B4396F0" w:rsidR="008130F1" w:rsidRPr="008130F1" w:rsidRDefault="008130F1" w:rsidP="008130F1">
      <w:pPr>
        <w:pStyle w:val="Prrafodelista"/>
        <w:numPr>
          <w:ilvl w:val="0"/>
          <w:numId w:val="13"/>
        </w:numPr>
        <w:spacing w:line="240" w:lineRule="auto"/>
        <w:jc w:val="both"/>
        <w:rPr>
          <w:rFonts w:ascii="Arial" w:hAnsi="Arial" w:cs="Arial"/>
          <w:sz w:val="24"/>
          <w:szCs w:val="24"/>
        </w:rPr>
      </w:pPr>
      <w:r>
        <w:rPr>
          <w:rFonts w:ascii="Arial" w:hAnsi="Arial" w:cs="Arial"/>
          <w:sz w:val="24"/>
          <w:szCs w:val="24"/>
        </w:rPr>
        <w:t>El total de la deuda que vencen en el año 2025 es: En pesos es de $90 billones y en dólares de U$s 21.147 millones.</w:t>
      </w:r>
    </w:p>
    <w:p w14:paraId="7EFE88BF" w14:textId="2907495E" w:rsidR="004C2173" w:rsidRPr="004C2173" w:rsidRDefault="00D26B79" w:rsidP="004C2173">
      <w:pPr>
        <w:pStyle w:val="Prrafodelista"/>
        <w:numPr>
          <w:ilvl w:val="0"/>
          <w:numId w:val="13"/>
        </w:numPr>
        <w:spacing w:line="240" w:lineRule="auto"/>
        <w:jc w:val="both"/>
        <w:rPr>
          <w:rFonts w:ascii="Arial" w:hAnsi="Arial" w:cs="Arial"/>
          <w:sz w:val="24"/>
          <w:szCs w:val="24"/>
          <w:shd w:val="clear" w:color="auto" w:fill="FFFFFF"/>
        </w:rPr>
      </w:pPr>
      <w:r w:rsidRPr="008130F1">
        <w:rPr>
          <w:rFonts w:ascii="Arial" w:hAnsi="Arial" w:cs="Arial"/>
          <w:sz w:val="24"/>
          <w:szCs w:val="24"/>
        </w:rPr>
        <w:t xml:space="preserve">Carry Trade:  </w:t>
      </w:r>
      <w:r w:rsidRPr="008130F1">
        <w:rPr>
          <w:rFonts w:ascii="Arial" w:hAnsi="Arial" w:cs="Arial"/>
          <w:sz w:val="24"/>
          <w:szCs w:val="24"/>
          <w:shd w:val="clear" w:color="auto" w:fill="FFFFFF"/>
        </w:rPr>
        <w:t xml:space="preserve">La Secretaria de Finanzas  ha programado vencimientos de deuda </w:t>
      </w:r>
      <w:r w:rsidR="004C2173">
        <w:rPr>
          <w:rFonts w:ascii="Arial" w:hAnsi="Arial" w:cs="Arial"/>
          <w:sz w:val="24"/>
          <w:szCs w:val="24"/>
          <w:shd w:val="clear" w:color="auto" w:fill="FFFFFF"/>
        </w:rPr>
        <w:t xml:space="preserve">en pesos cada 15 días  </w:t>
      </w:r>
      <w:r w:rsidR="004C2173" w:rsidRPr="004C2173">
        <w:rPr>
          <w:rFonts w:ascii="Arial" w:hAnsi="Arial" w:cs="Arial"/>
          <w:sz w:val="24"/>
          <w:szCs w:val="24"/>
        </w:rPr>
        <w:t>L</w:t>
      </w:r>
      <w:r w:rsidR="004C2173" w:rsidRPr="004C2173">
        <w:rPr>
          <w:rFonts w:ascii="Arial" w:hAnsi="Arial" w:cs="Arial"/>
          <w:sz w:val="24"/>
          <w:szCs w:val="24"/>
        </w:rPr>
        <w:t xml:space="preserve">a Secretaría de Finanzas debió financiar la deuda en pesos con letras del Tesoro capitalizables (Lecap) a cada vez menos plazo (y una proporción cada vez mayor del capital adeudado en plazos de 30 días), a una tasa fija mayor (cercana al 2,8% mensual).  </w:t>
      </w:r>
    </w:p>
    <w:p w14:paraId="1C7C8B00" w14:textId="77777777" w:rsidR="004C2173" w:rsidRDefault="004C2173" w:rsidP="004C2173">
      <w:pPr>
        <w:spacing w:line="240" w:lineRule="auto"/>
        <w:ind w:left="708"/>
        <w:jc w:val="both"/>
        <w:rPr>
          <w:rFonts w:ascii="Arial" w:hAnsi="Arial" w:cs="Arial"/>
          <w:sz w:val="24"/>
          <w:szCs w:val="24"/>
        </w:rPr>
      </w:pPr>
      <w:r w:rsidRPr="001D2235">
        <w:rPr>
          <w:rFonts w:ascii="Arial" w:hAnsi="Arial" w:cs="Arial"/>
          <w:sz w:val="24"/>
          <w:szCs w:val="24"/>
        </w:rPr>
        <w:lastRenderedPageBreak/>
        <w:t>En la licitación del jueves 27 de marzo 2025, primero, vencían 9,2 billones de pesos y renovó solamente  6,3 billones (quiere decir que 2,9 billones de pesos quedaron en pesos en poder de los bonistas).  Segundo, que de esos 6,3 billones de pesos, captó fondos a 30 días a una tasa del 2,79% mensual y a 60 y 90 días a una tasa de 2,8 % mensual, pero debió recurrir a bonos ajustados por inflación (los Boncer) más un plus para arribar a octubre 2025 y, por dólar oficial (dólar linked que protegen a los tenedores en caso de una devaluación), menos un interés del 1,98% para llegar a octubre 2025 y sin interés para arribar al 16 de enero 2026 (ganan con la devaluación esperada)</w:t>
      </w:r>
      <w:r>
        <w:rPr>
          <w:rFonts w:ascii="Arial" w:hAnsi="Arial" w:cs="Arial"/>
          <w:sz w:val="24"/>
          <w:szCs w:val="24"/>
        </w:rPr>
        <w:t>. Los que prefirieron retirar los pesos  no confían en que el  gobierno cumpla con los vencimientos y “reperfile” prorrogándolo como hizo Mauricio Macri al fin de su gestión por eso no compraron ni Boncer ni títulos dólar linked</w:t>
      </w:r>
      <w:r>
        <w:rPr>
          <w:rFonts w:ascii="Arial" w:hAnsi="Arial" w:cs="Arial"/>
          <w:sz w:val="24"/>
          <w:szCs w:val="24"/>
        </w:rPr>
        <w:t xml:space="preserve"> </w:t>
      </w:r>
    </w:p>
    <w:p w14:paraId="0D65BBD5" w14:textId="372B8AE7" w:rsidR="004C2173" w:rsidRPr="004C2173" w:rsidRDefault="004C2173" w:rsidP="004C2173">
      <w:pPr>
        <w:spacing w:line="240" w:lineRule="auto"/>
        <w:ind w:left="708"/>
        <w:jc w:val="both"/>
        <w:rPr>
          <w:rFonts w:ascii="Arial" w:hAnsi="Arial" w:cs="Arial"/>
          <w:sz w:val="24"/>
          <w:szCs w:val="24"/>
        </w:rPr>
      </w:pPr>
      <w:r w:rsidRPr="004C2173">
        <w:rPr>
          <w:rFonts w:ascii="Arial" w:hAnsi="Arial" w:cs="Arial"/>
          <w:sz w:val="24"/>
          <w:szCs w:val="24"/>
        </w:rPr>
        <w:t>En las últimas tres licitaciones, las Lecap de menos de 60 días representaron cerca del 50% del total adjudicado, el jueves 27 representaron el 75% de las adjudicaciones, una señal clara del cada vez es a menos plazo, máxime que uno de los grandes compradores de los Lecap licitado el 27 de marzo 2025 fue el Banco de la Nación Argentina, por ende los poseedores de títulos públicos que no lo recompraron en la licitación mencionada, agrandan los 2,9 billones de pesos, suma que van a percibir en pesos el lunes 31 de marzo y que seguramente se conviertan en dólares billetes</w:t>
      </w:r>
    </w:p>
    <w:p w14:paraId="2E2147B7" w14:textId="18B9C26D" w:rsidR="00AD7663" w:rsidRPr="004C2173" w:rsidRDefault="004C2173" w:rsidP="004C2173">
      <w:pPr>
        <w:pStyle w:val="Prrafodelista"/>
        <w:numPr>
          <w:ilvl w:val="0"/>
          <w:numId w:val="13"/>
        </w:numPr>
        <w:spacing w:line="240" w:lineRule="auto"/>
        <w:jc w:val="both"/>
        <w:rPr>
          <w:rFonts w:ascii="Arial" w:hAnsi="Arial" w:cs="Arial"/>
          <w:sz w:val="24"/>
          <w:szCs w:val="24"/>
          <w:shd w:val="clear" w:color="auto" w:fill="FFFFFF"/>
        </w:rPr>
      </w:pPr>
      <w:r>
        <w:rPr>
          <w:rFonts w:ascii="Arial" w:hAnsi="Arial" w:cs="Arial"/>
          <w:sz w:val="24"/>
          <w:szCs w:val="24"/>
        </w:rPr>
        <w:t xml:space="preserve"> L</w:t>
      </w:r>
      <w:r w:rsidRPr="004C2173">
        <w:rPr>
          <w:rFonts w:ascii="Arial" w:hAnsi="Arial" w:cs="Arial"/>
          <w:sz w:val="24"/>
          <w:szCs w:val="24"/>
        </w:rPr>
        <w:t>o</w:t>
      </w:r>
      <w:r w:rsidR="00AD7663" w:rsidRPr="004C2173">
        <w:rPr>
          <w:rFonts w:ascii="Arial" w:hAnsi="Arial" w:cs="Arial"/>
          <w:sz w:val="24"/>
          <w:szCs w:val="24"/>
        </w:rPr>
        <w:t xml:space="preserve">s tres sectores beneficiados </w:t>
      </w:r>
      <w:r w:rsidR="00D26B79" w:rsidRPr="004C2173">
        <w:rPr>
          <w:rFonts w:ascii="Arial" w:hAnsi="Arial" w:cs="Arial"/>
          <w:sz w:val="24"/>
          <w:szCs w:val="24"/>
        </w:rPr>
        <w:t xml:space="preserve">de la economía Argentina </w:t>
      </w:r>
      <w:r w:rsidR="00AD7663" w:rsidRPr="004C2173">
        <w:rPr>
          <w:rFonts w:ascii="Arial" w:hAnsi="Arial" w:cs="Arial"/>
          <w:sz w:val="24"/>
          <w:szCs w:val="24"/>
        </w:rPr>
        <w:t xml:space="preserve">los podemos  agrupan  en: </w:t>
      </w:r>
    </w:p>
    <w:p w14:paraId="3719350C" w14:textId="77777777" w:rsidR="00D26B79" w:rsidRPr="00D26B79" w:rsidRDefault="00D26B79" w:rsidP="00D26B79">
      <w:pPr>
        <w:pStyle w:val="Prrafodelista"/>
        <w:spacing w:line="240" w:lineRule="auto"/>
        <w:jc w:val="both"/>
        <w:rPr>
          <w:rFonts w:ascii="Arial" w:hAnsi="Arial" w:cs="Arial"/>
          <w:sz w:val="24"/>
          <w:szCs w:val="24"/>
        </w:rPr>
      </w:pPr>
    </w:p>
    <w:p w14:paraId="4DC8FA77" w14:textId="77777777" w:rsidR="00AD7663" w:rsidRDefault="00AD7663" w:rsidP="00AD7663">
      <w:pPr>
        <w:pStyle w:val="Prrafodelista"/>
        <w:numPr>
          <w:ilvl w:val="0"/>
          <w:numId w:val="2"/>
        </w:numPr>
        <w:spacing w:after="154" w:line="240" w:lineRule="auto"/>
        <w:jc w:val="both"/>
        <w:rPr>
          <w:rFonts w:ascii="Arial" w:eastAsia="Times New Roman" w:hAnsi="Arial" w:cs="Arial"/>
          <w:sz w:val="24"/>
          <w:szCs w:val="24"/>
          <w:lang w:eastAsia="es-ES"/>
        </w:rPr>
      </w:pPr>
      <w:r w:rsidRPr="007A59E0">
        <w:rPr>
          <w:rFonts w:ascii="Arial" w:hAnsi="Arial" w:cs="Arial"/>
          <w:sz w:val="24"/>
          <w:szCs w:val="24"/>
        </w:rPr>
        <w:t>El capital extranjero, liderado por los grandes fondos financieros (BlackRock, Vanguard, PIMCO, Franklin Templeton, Fidelity</w:t>
      </w:r>
      <w:r w:rsidRPr="007A59E0">
        <w:rPr>
          <w:rFonts w:ascii="Arial" w:hAnsi="Arial" w:cs="Arial"/>
          <w:b/>
          <w:bCs/>
          <w:sz w:val="24"/>
          <w:szCs w:val="24"/>
          <w:lang w:val="es-AR"/>
        </w:rPr>
        <w:t xml:space="preserve">, </w:t>
      </w:r>
      <w:r w:rsidRPr="007A59E0">
        <w:rPr>
          <w:rFonts w:ascii="Arial" w:hAnsi="Arial" w:cs="Arial"/>
          <w:sz w:val="24"/>
          <w:szCs w:val="24"/>
        </w:rPr>
        <w:t xml:space="preserve">Greylock, y otros) que tienen como aglutinante a la </w:t>
      </w:r>
      <w:r w:rsidRPr="007A59E0">
        <w:rPr>
          <w:rFonts w:ascii="Arial" w:eastAsia="Times New Roman" w:hAnsi="Arial" w:cs="Arial"/>
          <w:sz w:val="24"/>
          <w:szCs w:val="24"/>
          <w:lang w:eastAsia="es-ES"/>
        </w:rPr>
        <w:t xml:space="preserve">Cámara de Comercio Argentino-Norteamericana (Amcham) y a los cuales tributa el equipo económico encabezado por Luis Caputo como ministro de Economía  y Santiago Bausili como presidente del BCRA. </w:t>
      </w:r>
    </w:p>
    <w:p w14:paraId="323D8FE8" w14:textId="77777777" w:rsidR="00AD7663" w:rsidRPr="00DE2E57" w:rsidRDefault="00AD7663" w:rsidP="00AD7663">
      <w:pPr>
        <w:pStyle w:val="Prrafodelista"/>
        <w:spacing w:after="154" w:line="240" w:lineRule="auto"/>
        <w:ind w:left="644"/>
        <w:jc w:val="both"/>
        <w:rPr>
          <w:rFonts w:ascii="Arial" w:eastAsia="Times New Roman" w:hAnsi="Arial" w:cs="Arial"/>
          <w:sz w:val="24"/>
          <w:szCs w:val="24"/>
          <w:lang w:eastAsia="es-ES"/>
        </w:rPr>
      </w:pPr>
    </w:p>
    <w:p w14:paraId="7EC6879A" w14:textId="77777777" w:rsidR="00AD7663" w:rsidRPr="00257AAD" w:rsidRDefault="00AD7663" w:rsidP="00AD7663">
      <w:pPr>
        <w:pStyle w:val="Prrafodelista"/>
        <w:numPr>
          <w:ilvl w:val="0"/>
          <w:numId w:val="2"/>
        </w:numPr>
        <w:spacing w:after="154" w:line="240" w:lineRule="auto"/>
        <w:jc w:val="both"/>
        <w:outlineLvl w:val="1"/>
        <w:rPr>
          <w:rStyle w:val="Ninguno"/>
          <w:rFonts w:ascii="Arial" w:eastAsia="Times New Roman" w:hAnsi="Arial" w:cs="Arial"/>
          <w:sz w:val="24"/>
          <w:szCs w:val="24"/>
          <w:lang w:eastAsia="es-ES"/>
        </w:rPr>
      </w:pPr>
      <w:r w:rsidRPr="00E44573">
        <w:rPr>
          <w:rStyle w:val="Ninguno"/>
          <w:rFonts w:ascii="Arial" w:hAnsi="Arial" w:cs="Arial"/>
          <w:sz w:val="24"/>
          <w:szCs w:val="24"/>
          <w:lang w:val="es-ES_tradnl"/>
        </w:rPr>
        <w:t xml:space="preserve">La Asociación Empresaria Argentina (AEA) presidida por un hombre ligado a la embajada de los EEUU y, como tal, principal convocante para conmemorar los 4 de julio, Jaime Campos. Pero los principales directivos y vicepresidentes de AEA son Paolo Rocca (Techint), Héctor Magnetto (Clarín), Luis Pagani (Arcor), y </w:t>
      </w:r>
      <w:r>
        <w:rPr>
          <w:rStyle w:val="Ninguno"/>
          <w:rFonts w:ascii="Arial" w:hAnsi="Arial" w:cs="Arial"/>
          <w:sz w:val="24"/>
          <w:szCs w:val="24"/>
          <w:lang w:val="es-ES_tradnl"/>
        </w:rPr>
        <w:t>son vocales</w:t>
      </w:r>
      <w:r w:rsidRPr="00E44573">
        <w:rPr>
          <w:rStyle w:val="Ninguno"/>
          <w:rFonts w:ascii="Arial" w:hAnsi="Arial" w:cs="Arial"/>
          <w:sz w:val="24"/>
          <w:szCs w:val="24"/>
          <w:lang w:val="es-ES_tradnl"/>
        </w:rPr>
        <w:t xml:space="preserve">: Cristiano Ratazzi (FIAT), Alfredo Coto (supermercado Coto), </w:t>
      </w:r>
      <w:r w:rsidRPr="00257AAD">
        <w:rPr>
          <w:rStyle w:val="Ninguno"/>
          <w:rFonts w:ascii="Arial" w:hAnsi="Arial" w:cs="Arial"/>
          <w:sz w:val="24"/>
          <w:szCs w:val="24"/>
          <w:lang w:val="es-ES_tradnl"/>
        </w:rPr>
        <w:t>Sebastián Bagó (Laboratorios Bagó), Luis Pérez Companc (Molinos Agro), Eduardo Elsztain (IRSA), Alejandro Bulgheroni (PAE), etc.</w:t>
      </w:r>
    </w:p>
    <w:p w14:paraId="214D145C" w14:textId="77777777" w:rsidR="00AD7663" w:rsidRPr="00E44573" w:rsidRDefault="00AD7663" w:rsidP="00AD7663">
      <w:pPr>
        <w:pStyle w:val="Prrafodelista"/>
        <w:rPr>
          <w:rFonts w:ascii="Arial" w:eastAsia="Times New Roman" w:hAnsi="Arial" w:cs="Arial"/>
          <w:sz w:val="24"/>
          <w:szCs w:val="24"/>
          <w:lang w:eastAsia="es-ES"/>
        </w:rPr>
      </w:pPr>
    </w:p>
    <w:p w14:paraId="2512D92D" w14:textId="77777777" w:rsidR="00AD7663" w:rsidRPr="00E44573" w:rsidRDefault="00AD7663" w:rsidP="00AD7663">
      <w:pPr>
        <w:pStyle w:val="Prrafodelista"/>
        <w:spacing w:after="154" w:line="240" w:lineRule="auto"/>
        <w:ind w:left="644"/>
        <w:jc w:val="both"/>
        <w:outlineLvl w:val="1"/>
        <w:rPr>
          <w:rFonts w:ascii="Arial" w:eastAsia="Times New Roman" w:hAnsi="Arial" w:cs="Arial"/>
          <w:sz w:val="24"/>
          <w:szCs w:val="24"/>
          <w:lang w:eastAsia="es-ES"/>
        </w:rPr>
      </w:pPr>
    </w:p>
    <w:p w14:paraId="5F225F53" w14:textId="77777777" w:rsidR="00AD7663" w:rsidRPr="00E44573" w:rsidRDefault="00AD7663" w:rsidP="00AD7663">
      <w:pPr>
        <w:pStyle w:val="Prrafodelista"/>
        <w:numPr>
          <w:ilvl w:val="0"/>
          <w:numId w:val="2"/>
        </w:numPr>
        <w:spacing w:before="100" w:beforeAutospacing="1" w:after="154" w:afterAutospacing="1" w:line="240" w:lineRule="auto"/>
        <w:jc w:val="both"/>
        <w:outlineLvl w:val="1"/>
        <w:rPr>
          <w:rFonts w:ascii="Arial" w:hAnsi="Arial" w:cs="Arial"/>
          <w:bCs/>
          <w:color w:val="121212"/>
          <w:sz w:val="24"/>
          <w:szCs w:val="24"/>
          <w:bdr w:val="none" w:sz="0" w:space="0" w:color="auto" w:frame="1"/>
          <w:shd w:val="clear" w:color="auto" w:fill="FFFFFF"/>
        </w:rPr>
      </w:pPr>
      <w:r w:rsidRPr="002E11E6">
        <w:rPr>
          <w:rStyle w:val="Ninguno"/>
          <w:rFonts w:ascii="Arial" w:hAnsi="Arial" w:cs="Arial"/>
          <w:sz w:val="24"/>
          <w:szCs w:val="24"/>
          <w:lang w:val="es-ES_tradnl"/>
        </w:rPr>
        <w:t>El  Consejo Agrario Argentino (CAA) que se conformó en julio de 2020 con más de 40 cámaras y entidades como CONINAGRO (Confederación Inter cooperativa Agropecuaria), Confederaciones Rurales Argentinas (CRA) y Federación Agraria Argentina (FAA) y tiene asociados y sectores diversos, abarca prácticamente a todos los integrantes de las</w:t>
      </w:r>
      <w:r>
        <w:rPr>
          <w:rStyle w:val="Ninguno"/>
          <w:rFonts w:ascii="Arial" w:hAnsi="Arial" w:cs="Arial"/>
          <w:sz w:val="24"/>
          <w:szCs w:val="24"/>
          <w:lang w:val="es-ES_tradnl"/>
        </w:rPr>
        <w:t xml:space="preserve"> cadenas de valor agropecuarias, de granos  y de </w:t>
      </w:r>
      <w:r w:rsidRPr="002E11E6">
        <w:rPr>
          <w:rStyle w:val="Ninguno"/>
          <w:rFonts w:ascii="Arial" w:hAnsi="Arial" w:cs="Arial"/>
          <w:sz w:val="24"/>
          <w:szCs w:val="24"/>
          <w:lang w:val="es-ES_tradnl"/>
        </w:rPr>
        <w:t xml:space="preserve"> productores de carne avícola, vacuna y porcina; las industrias y cámaras ligadas a la producción de soja, maíz, trigo, arroz, maní, algodón, madera y pesca, entre otros; y las empresas exportadoras nucleadas en el Centro de Exportadores de Cereales (CEC</w:t>
      </w:r>
      <w:r>
        <w:rPr>
          <w:rStyle w:val="Ninguno"/>
          <w:rFonts w:ascii="Arial" w:hAnsi="Arial" w:cs="Arial"/>
          <w:sz w:val="24"/>
          <w:szCs w:val="24"/>
          <w:lang w:val="es-ES_tradnl"/>
        </w:rPr>
        <w:t>)</w:t>
      </w:r>
      <w:r w:rsidRPr="002E11E6">
        <w:rPr>
          <w:rStyle w:val="Ninguno"/>
          <w:rFonts w:ascii="Arial" w:hAnsi="Arial" w:cs="Arial"/>
          <w:sz w:val="24"/>
          <w:szCs w:val="24"/>
          <w:lang w:val="es-ES_tradnl"/>
        </w:rPr>
        <w:t xml:space="preserve">, donde participan Aceitera General </w:t>
      </w:r>
      <w:r>
        <w:rPr>
          <w:rStyle w:val="Ninguno"/>
          <w:rFonts w:ascii="Arial" w:hAnsi="Arial" w:cs="Arial"/>
          <w:sz w:val="24"/>
          <w:szCs w:val="24"/>
          <w:lang w:val="es-ES_tradnl"/>
        </w:rPr>
        <w:t>Deheza, COFCO, Cargill, Viterra,</w:t>
      </w:r>
      <w:r w:rsidRPr="002E11E6">
        <w:rPr>
          <w:rStyle w:val="Ninguno"/>
          <w:rFonts w:ascii="Arial" w:hAnsi="Arial" w:cs="Arial"/>
          <w:sz w:val="24"/>
          <w:szCs w:val="24"/>
          <w:lang w:val="es-ES_tradnl"/>
        </w:rPr>
        <w:t xml:space="preserve"> Louis Dreyfus,</w:t>
      </w:r>
      <w:r>
        <w:rPr>
          <w:rStyle w:val="Ninguno"/>
          <w:rFonts w:ascii="Arial" w:hAnsi="Arial" w:cs="Arial"/>
          <w:sz w:val="24"/>
          <w:szCs w:val="24"/>
          <w:lang w:val="es-ES_tradnl"/>
        </w:rPr>
        <w:t xml:space="preserve"> Molinos Agro, etc</w:t>
      </w:r>
      <w:r w:rsidRPr="002E11E6">
        <w:rPr>
          <w:rStyle w:val="Ninguno"/>
          <w:rFonts w:ascii="Arial" w:hAnsi="Arial" w:cs="Arial"/>
          <w:sz w:val="24"/>
          <w:szCs w:val="24"/>
          <w:lang w:val="es-ES_tradnl"/>
        </w:rPr>
        <w:t>. A ello, se suman las Bolsas de Cereales y acopiadores de todo el país, uniendo productores, acopiadores, comercializadores, industriales, biocombustibles y exportadores.</w:t>
      </w:r>
    </w:p>
    <w:p w14:paraId="5C467A48" w14:textId="394ED2E6" w:rsidR="008130F1" w:rsidRDefault="00AD7663" w:rsidP="004C2173">
      <w:pPr>
        <w:spacing w:line="240" w:lineRule="auto"/>
        <w:ind w:left="644"/>
        <w:jc w:val="both"/>
        <w:rPr>
          <w:rStyle w:val="Ninguno"/>
          <w:rFonts w:ascii="Arial" w:hAnsi="Arial" w:cs="Arial"/>
          <w:sz w:val="24"/>
          <w:szCs w:val="24"/>
          <w:lang w:val="es-ES_tradnl"/>
        </w:rPr>
      </w:pPr>
      <w:r>
        <w:rPr>
          <w:rFonts w:ascii="Arial" w:hAnsi="Arial" w:cs="Arial"/>
          <w:sz w:val="24"/>
          <w:szCs w:val="24"/>
        </w:rPr>
        <w:lastRenderedPageBreak/>
        <w:t>Los tres sectores (que se interrelacionan entre sí) se beneficiaron y benefician con la fuga de capitales y el traslado de esa deuda al pueblo argentino</w:t>
      </w:r>
      <w:r>
        <w:rPr>
          <w:rStyle w:val="Refdenotaalpie"/>
          <w:rFonts w:ascii="Arial" w:hAnsi="Arial" w:cs="Arial"/>
          <w:sz w:val="24"/>
          <w:szCs w:val="24"/>
        </w:rPr>
        <w:footnoteReference w:id="2"/>
      </w:r>
      <w:r>
        <w:rPr>
          <w:rFonts w:ascii="Arial" w:hAnsi="Arial" w:cs="Arial"/>
          <w:sz w:val="24"/>
          <w:szCs w:val="24"/>
        </w:rPr>
        <w:t xml:space="preserve">, exacerbado </w:t>
      </w:r>
      <w:r w:rsidRPr="000219BD">
        <w:rPr>
          <w:rStyle w:val="Ninguno"/>
          <w:rFonts w:ascii="Arial" w:hAnsi="Arial" w:cs="Arial"/>
          <w:sz w:val="24"/>
          <w:szCs w:val="24"/>
          <w:lang w:val="es-ES_tradnl"/>
        </w:rPr>
        <w:t>en forma exponencial por el carry trade</w:t>
      </w:r>
      <w:r>
        <w:rPr>
          <w:rStyle w:val="Ninguno"/>
          <w:rFonts w:ascii="Arial" w:hAnsi="Arial" w:cs="Arial"/>
          <w:sz w:val="24"/>
          <w:szCs w:val="24"/>
          <w:lang w:val="es-ES_tradnl"/>
        </w:rPr>
        <w:t>.</w:t>
      </w:r>
    </w:p>
    <w:p w14:paraId="286631CA" w14:textId="3616651E" w:rsidR="00AD7663" w:rsidRPr="004C2173" w:rsidRDefault="00AD7663" w:rsidP="004C2173">
      <w:pPr>
        <w:pStyle w:val="Prrafodelista"/>
        <w:numPr>
          <w:ilvl w:val="0"/>
          <w:numId w:val="13"/>
        </w:numPr>
        <w:spacing w:line="240" w:lineRule="auto"/>
        <w:jc w:val="both"/>
        <w:rPr>
          <w:rFonts w:ascii="Arial" w:hAnsi="Arial" w:cs="Arial"/>
          <w:sz w:val="24"/>
          <w:szCs w:val="24"/>
        </w:rPr>
      </w:pPr>
      <w:r w:rsidRPr="004C2173">
        <w:rPr>
          <w:rFonts w:ascii="Arial" w:hAnsi="Arial" w:cs="Arial"/>
          <w:sz w:val="24"/>
          <w:szCs w:val="24"/>
        </w:rPr>
        <w:t xml:space="preserve">Es la deuda externa y la extranjerización y concentración económica en nuestro país la que impone una matriz extractivista, agropecuaria-exportadora, razón por la cual no se desarrollan industrias que sustituyan importaciones, no genera trabajo y no se integra a la sociedad. Al contrario, se subordina toda la economía a satisfacer la demanda del exterior. </w:t>
      </w:r>
    </w:p>
    <w:p w14:paraId="7390E806" w14:textId="77777777" w:rsidR="00AD7663" w:rsidRDefault="00AD7663" w:rsidP="004C2173">
      <w:pPr>
        <w:pStyle w:val="Prrafodelista"/>
        <w:numPr>
          <w:ilvl w:val="0"/>
          <w:numId w:val="13"/>
        </w:numPr>
        <w:spacing w:line="240" w:lineRule="auto"/>
        <w:jc w:val="both"/>
        <w:rPr>
          <w:rFonts w:ascii="Arial" w:hAnsi="Arial" w:cs="Arial"/>
          <w:sz w:val="24"/>
          <w:szCs w:val="24"/>
        </w:rPr>
      </w:pPr>
      <w:r w:rsidRPr="00A36312">
        <w:rPr>
          <w:rFonts w:ascii="Arial" w:hAnsi="Arial" w:cs="Arial"/>
          <w:sz w:val="24"/>
          <w:szCs w:val="24"/>
        </w:rPr>
        <w:t>En consecuencia, Argentina aparece con problemas estructurales propios de una economía sesgada a las exportaciones primarias, con cada vez menos actores industriales con capacidad de insertarse en un mundo con exigencias crecientes como efecto del entorno en el que se desenvuelve, por ende, la macroeconomía y la matriz comercial están en función de priorizar la venta de minerales, materias primas y alimentos.</w:t>
      </w:r>
    </w:p>
    <w:p w14:paraId="19221FA0" w14:textId="7FDF7939" w:rsidR="00AD7663" w:rsidRPr="00A36312" w:rsidRDefault="00AD7663" w:rsidP="004C2173">
      <w:pPr>
        <w:pStyle w:val="Prrafodelista"/>
        <w:numPr>
          <w:ilvl w:val="0"/>
          <w:numId w:val="13"/>
        </w:numPr>
        <w:spacing w:line="240" w:lineRule="auto"/>
        <w:jc w:val="both"/>
        <w:rPr>
          <w:rStyle w:val="Ninguno"/>
          <w:rFonts w:ascii="Arial" w:hAnsi="Arial" w:cs="Arial"/>
          <w:sz w:val="24"/>
          <w:szCs w:val="24"/>
        </w:rPr>
      </w:pPr>
      <w:r w:rsidRPr="00A36312">
        <w:rPr>
          <w:rFonts w:ascii="Arial" w:hAnsi="Arial" w:cs="Arial"/>
          <w:sz w:val="24"/>
          <w:szCs w:val="24"/>
        </w:rPr>
        <w:t>Sin embargo, las diferencias entre ellos no son menores y, uno de los campos de batalla es el precio actual del dólar. Mientras el capital financiero internacional con base en Manhattan (BlackRock, Vanguard, PIMCO, Franklin Templeton, Fidelity</w:t>
      </w:r>
      <w:r w:rsidRPr="00A36312">
        <w:rPr>
          <w:rFonts w:ascii="Arial" w:hAnsi="Arial" w:cs="Arial"/>
          <w:b/>
          <w:bCs/>
          <w:sz w:val="24"/>
          <w:szCs w:val="24"/>
        </w:rPr>
        <w:t xml:space="preserve">, </w:t>
      </w:r>
      <w:r w:rsidRPr="00A36312">
        <w:rPr>
          <w:rFonts w:ascii="Arial" w:hAnsi="Arial" w:cs="Arial"/>
          <w:sz w:val="24"/>
          <w:szCs w:val="24"/>
        </w:rPr>
        <w:t>Greylock, y otros) impulsa y promueve el carry trade para seguir ganando fortunas por la diferencial entre el crecimiento del tipo de cambio oficial (</w:t>
      </w:r>
      <w:r w:rsidR="008130F1">
        <w:rPr>
          <w:rFonts w:ascii="Arial" w:hAnsi="Arial" w:cs="Arial"/>
          <w:sz w:val="24"/>
          <w:szCs w:val="24"/>
        </w:rPr>
        <w:t xml:space="preserve">desde </w:t>
      </w:r>
      <w:r w:rsidRPr="00A36312">
        <w:rPr>
          <w:rFonts w:ascii="Arial" w:hAnsi="Arial" w:cs="Arial"/>
          <w:sz w:val="24"/>
          <w:szCs w:val="24"/>
        </w:rPr>
        <w:t xml:space="preserve"> febrero 2025 del 1% mensual) y las tasas que obtienen por inflación o por tasa de interés (por ejemplo las LECAP y BONCAP), las empresas locales (Techint, CGC, ARCOR, y los acopiadores y comercializadores de granos etc. que también tienen plata puesta en el carry trade pero como negocio marginal) se quejan que el atraso cambiario y la baja de aranceles que impulsa la importación.  Igual el campo, agrupados en el </w:t>
      </w:r>
      <w:r w:rsidRPr="00A36312">
        <w:rPr>
          <w:rStyle w:val="Ninguno"/>
          <w:rFonts w:ascii="Arial" w:hAnsi="Arial" w:cs="Arial"/>
          <w:sz w:val="24"/>
          <w:szCs w:val="24"/>
          <w:lang w:val="es-ES_tradnl"/>
        </w:rPr>
        <w:t>Consejo Agrario Argentino (CAA), que retiene granos y exporta solo lo necesario, presionando a la devaluación de nuestra moneda.</w:t>
      </w:r>
    </w:p>
    <w:p w14:paraId="4D23F0E6" w14:textId="77777777" w:rsidR="00AD7663" w:rsidRPr="00A36312" w:rsidRDefault="00AD7663" w:rsidP="004C2173">
      <w:pPr>
        <w:pStyle w:val="Prrafodelista"/>
        <w:numPr>
          <w:ilvl w:val="0"/>
          <w:numId w:val="13"/>
        </w:numPr>
        <w:spacing w:line="240" w:lineRule="auto"/>
        <w:jc w:val="both"/>
        <w:rPr>
          <w:rFonts w:ascii="Arial" w:hAnsi="Arial" w:cs="Arial"/>
          <w:sz w:val="24"/>
          <w:szCs w:val="24"/>
        </w:rPr>
      </w:pPr>
      <w:r w:rsidRPr="00A36312">
        <w:rPr>
          <w:rFonts w:ascii="Arial" w:hAnsi="Arial" w:cs="Arial"/>
          <w:sz w:val="24"/>
          <w:szCs w:val="24"/>
        </w:rPr>
        <w:t>Es una cuestión de tiempos y de cálculos financieros, porque los grupos locales que se han endeudado en obligaciones negociables en dólares como Pampa Energía, Tecpetrol (del grupo Techint), Compañía General de Combustible (familia Eurnekián), Vista Oil &amp; Gas, TGS, CAPEX, IRSA, CRESUD, EDENOR, GENNEI por 23.932 millones de dólares al 31 de enero de 2025, según informa la Comisión Nacional de Valores. Ellos deben medir el costo que significa una devaluación en sus ingresos y en el pago de la deuda.</w:t>
      </w:r>
    </w:p>
    <w:p w14:paraId="76DD9519" w14:textId="07796698" w:rsidR="00AD7663" w:rsidRDefault="00AD7663" w:rsidP="004C2173">
      <w:pPr>
        <w:pStyle w:val="Prrafodelista"/>
        <w:numPr>
          <w:ilvl w:val="0"/>
          <w:numId w:val="13"/>
        </w:numPr>
        <w:spacing w:line="240" w:lineRule="auto"/>
        <w:jc w:val="both"/>
        <w:rPr>
          <w:rFonts w:ascii="Arial" w:hAnsi="Arial" w:cs="Arial"/>
          <w:sz w:val="24"/>
          <w:szCs w:val="24"/>
        </w:rPr>
      </w:pPr>
      <w:r w:rsidRPr="00A36312">
        <w:rPr>
          <w:rFonts w:ascii="Arial" w:hAnsi="Arial" w:cs="Arial"/>
          <w:sz w:val="24"/>
          <w:szCs w:val="24"/>
        </w:rPr>
        <w:t>En ese marco, los tres sectores esperan la devaluación del peso, el problema es cuando, por qu</w:t>
      </w:r>
      <w:r w:rsidR="00E71F6A" w:rsidRPr="00A36312">
        <w:rPr>
          <w:rFonts w:ascii="Arial" w:hAnsi="Arial" w:cs="Arial"/>
          <w:sz w:val="24"/>
          <w:szCs w:val="24"/>
        </w:rPr>
        <w:t>é</w:t>
      </w:r>
      <w:r w:rsidRPr="00A36312">
        <w:rPr>
          <w:rFonts w:ascii="Arial" w:hAnsi="Arial" w:cs="Arial"/>
          <w:sz w:val="24"/>
          <w:szCs w:val="24"/>
        </w:rPr>
        <w:t xml:space="preserve"> porcentaje y de qué modo (por ejemplo el FMI prefiere la “banda de flotación” con un piso con el precio actual del dólar y un techo que debería verse cuanto es mayor)</w:t>
      </w:r>
      <w:r w:rsidR="00A36312">
        <w:rPr>
          <w:rFonts w:ascii="Arial" w:hAnsi="Arial" w:cs="Arial"/>
          <w:sz w:val="24"/>
          <w:szCs w:val="24"/>
        </w:rPr>
        <w:t>.</w:t>
      </w:r>
    </w:p>
    <w:p w14:paraId="2DADCF5A" w14:textId="77777777" w:rsidR="00AD7663" w:rsidRDefault="00AD7663" w:rsidP="004C2173">
      <w:pPr>
        <w:pStyle w:val="Prrafodelista"/>
        <w:numPr>
          <w:ilvl w:val="0"/>
          <w:numId w:val="13"/>
        </w:numPr>
        <w:spacing w:line="240" w:lineRule="auto"/>
        <w:jc w:val="both"/>
        <w:rPr>
          <w:rFonts w:ascii="Arial" w:hAnsi="Arial" w:cs="Arial"/>
          <w:sz w:val="24"/>
          <w:szCs w:val="24"/>
        </w:rPr>
      </w:pPr>
      <w:r w:rsidRPr="00A36312">
        <w:rPr>
          <w:rFonts w:ascii="Arial" w:hAnsi="Arial" w:cs="Arial"/>
          <w:sz w:val="24"/>
          <w:szCs w:val="24"/>
        </w:rPr>
        <w:t>El capital financiero con base en Manhattan sin necesidad de financiar la guerra como hizo con Ucrania, va a convertir sus acreencias en títulos ajustables y/o en dólar, si sus empleados Caputo y Bausili crean a tal efecto un bono dual mejor que mejor, para invertir en el RIGI (lo planteó en el informe de septiembre 2024 Larry Fink, CEO de BlackRock) y comprar con los títulos de deuda  parte del patrimonio nacional.</w:t>
      </w:r>
    </w:p>
    <w:p w14:paraId="7FF87F7E" w14:textId="0BB5CF99" w:rsidR="00AD7663" w:rsidRDefault="00AD7663" w:rsidP="004C2173">
      <w:pPr>
        <w:pStyle w:val="Prrafodelista"/>
        <w:numPr>
          <w:ilvl w:val="0"/>
          <w:numId w:val="13"/>
        </w:numPr>
        <w:spacing w:line="240" w:lineRule="auto"/>
        <w:jc w:val="both"/>
        <w:rPr>
          <w:rFonts w:ascii="Arial" w:hAnsi="Arial" w:cs="Arial"/>
          <w:sz w:val="24"/>
          <w:szCs w:val="24"/>
        </w:rPr>
      </w:pPr>
      <w:r w:rsidRPr="00A36312">
        <w:rPr>
          <w:rFonts w:ascii="Arial" w:hAnsi="Arial" w:cs="Arial"/>
          <w:sz w:val="24"/>
          <w:szCs w:val="24"/>
        </w:rPr>
        <w:t xml:space="preserve">Los otros grupos van a intentar hacer los mismo, con la ventaja que juegan de local y para ello necesitan desplazar a Javier Milei, a </w:t>
      </w:r>
      <w:r w:rsidR="008130F1">
        <w:rPr>
          <w:rFonts w:ascii="Arial" w:hAnsi="Arial" w:cs="Arial"/>
          <w:sz w:val="24"/>
          <w:szCs w:val="24"/>
        </w:rPr>
        <w:t xml:space="preserve">Luis </w:t>
      </w:r>
      <w:r w:rsidRPr="00A36312">
        <w:rPr>
          <w:rFonts w:ascii="Arial" w:hAnsi="Arial" w:cs="Arial"/>
          <w:sz w:val="24"/>
          <w:szCs w:val="24"/>
        </w:rPr>
        <w:t xml:space="preserve">Caputo y a </w:t>
      </w:r>
      <w:r w:rsidR="008130F1">
        <w:rPr>
          <w:rFonts w:ascii="Arial" w:hAnsi="Arial" w:cs="Arial"/>
          <w:sz w:val="24"/>
          <w:szCs w:val="24"/>
        </w:rPr>
        <w:t xml:space="preserve">Santiago </w:t>
      </w:r>
      <w:r w:rsidRPr="00A36312">
        <w:rPr>
          <w:rFonts w:ascii="Arial" w:hAnsi="Arial" w:cs="Arial"/>
          <w:sz w:val="24"/>
          <w:szCs w:val="24"/>
        </w:rPr>
        <w:t>Bausili, tributar</w:t>
      </w:r>
      <w:r w:rsidR="006D42A8">
        <w:rPr>
          <w:rFonts w:ascii="Arial" w:hAnsi="Arial" w:cs="Arial"/>
          <w:sz w:val="24"/>
          <w:szCs w:val="24"/>
        </w:rPr>
        <w:t>i</w:t>
      </w:r>
      <w:r w:rsidRPr="00A36312">
        <w:rPr>
          <w:rFonts w:ascii="Arial" w:hAnsi="Arial" w:cs="Arial"/>
          <w:sz w:val="24"/>
          <w:szCs w:val="24"/>
        </w:rPr>
        <w:t>os de AmCham.</w:t>
      </w:r>
    </w:p>
    <w:p w14:paraId="7B3FEFC5" w14:textId="77777777" w:rsidR="00AD7663" w:rsidRDefault="00AD7663" w:rsidP="004C2173">
      <w:pPr>
        <w:pStyle w:val="Prrafodelista"/>
        <w:numPr>
          <w:ilvl w:val="0"/>
          <w:numId w:val="13"/>
        </w:numPr>
        <w:spacing w:line="240" w:lineRule="auto"/>
        <w:jc w:val="both"/>
        <w:rPr>
          <w:rFonts w:ascii="Arial" w:hAnsi="Arial" w:cs="Arial"/>
          <w:sz w:val="24"/>
          <w:szCs w:val="24"/>
        </w:rPr>
      </w:pPr>
      <w:r w:rsidRPr="00A36312">
        <w:rPr>
          <w:rFonts w:ascii="Arial" w:hAnsi="Arial" w:cs="Arial"/>
          <w:sz w:val="24"/>
          <w:szCs w:val="24"/>
        </w:rPr>
        <w:t xml:space="preserve">Los que pierden siempre son los trabajadores, jubilados y pensionados y los pequeños y medianos empresarios que venden al mercado interno, porque en la </w:t>
      </w:r>
      <w:r w:rsidRPr="00A36312">
        <w:rPr>
          <w:rFonts w:ascii="Arial" w:hAnsi="Arial" w:cs="Arial"/>
          <w:sz w:val="24"/>
          <w:szCs w:val="24"/>
        </w:rPr>
        <w:lastRenderedPageBreak/>
        <w:t>Argentina existe una relación inversamente proporcional entre el poder adquisitivo del trabajo presente y pasado y la devaluación del peso.</w:t>
      </w:r>
    </w:p>
    <w:p w14:paraId="5EDE4117" w14:textId="77777777" w:rsidR="00AD7663" w:rsidRDefault="00AD7663" w:rsidP="004C2173">
      <w:pPr>
        <w:pStyle w:val="Prrafodelista"/>
        <w:numPr>
          <w:ilvl w:val="0"/>
          <w:numId w:val="13"/>
        </w:numPr>
        <w:spacing w:line="240" w:lineRule="auto"/>
        <w:jc w:val="both"/>
        <w:rPr>
          <w:rFonts w:ascii="Arial" w:hAnsi="Arial" w:cs="Arial"/>
          <w:sz w:val="24"/>
          <w:szCs w:val="24"/>
        </w:rPr>
      </w:pPr>
      <w:r w:rsidRPr="00A36312">
        <w:rPr>
          <w:rFonts w:ascii="Arial" w:hAnsi="Arial" w:cs="Arial"/>
          <w:sz w:val="24"/>
          <w:szCs w:val="24"/>
        </w:rPr>
        <w:t>Con más desempleo y recesión iniciada en el último trimestre de 2023, que profundizó el Gobierno de Milei, donde cerraron 12.214 empresas de acuerdo a la Superintendencia de Riesgos del </w:t>
      </w:r>
      <w:hyperlink r:id="rId8" w:history="1">
        <w:r w:rsidRPr="00A36312">
          <w:rPr>
            <w:rFonts w:ascii="Arial" w:hAnsi="Arial" w:cs="Arial"/>
            <w:sz w:val="24"/>
            <w:szCs w:val="24"/>
          </w:rPr>
          <w:t>Trabajo</w:t>
        </w:r>
      </w:hyperlink>
      <w:r w:rsidRPr="00A36312">
        <w:rPr>
          <w:rFonts w:ascii="Arial" w:hAnsi="Arial" w:cs="Arial"/>
          <w:sz w:val="24"/>
          <w:szCs w:val="24"/>
        </w:rPr>
        <w:t> (SRT) y se perdieron, hasta octubre 2024, casi 254.000 ocupados, de acuerdo al propio INDEC.</w:t>
      </w:r>
    </w:p>
    <w:p w14:paraId="3194257D" w14:textId="58E9E165" w:rsidR="00807F91" w:rsidRDefault="008561DA" w:rsidP="004C2173">
      <w:pPr>
        <w:pStyle w:val="Prrafodelista"/>
        <w:numPr>
          <w:ilvl w:val="0"/>
          <w:numId w:val="13"/>
        </w:numPr>
        <w:spacing w:line="240" w:lineRule="auto"/>
        <w:jc w:val="both"/>
        <w:rPr>
          <w:rFonts w:ascii="Arial" w:hAnsi="Arial" w:cs="Arial"/>
          <w:sz w:val="24"/>
          <w:szCs w:val="24"/>
        </w:rPr>
      </w:pPr>
      <w:r w:rsidRPr="00A36312">
        <w:rPr>
          <w:rFonts w:ascii="Arial" w:hAnsi="Arial" w:cs="Arial"/>
          <w:sz w:val="24"/>
          <w:szCs w:val="24"/>
        </w:rPr>
        <w:t xml:space="preserve">Los desocupados van a seguir incrementándose y la pobreza también, mientras </w:t>
      </w:r>
      <w:r w:rsidR="00807F91" w:rsidRPr="00A36312">
        <w:rPr>
          <w:rFonts w:ascii="Arial" w:hAnsi="Arial" w:cs="Arial"/>
          <w:sz w:val="24"/>
          <w:szCs w:val="24"/>
        </w:rPr>
        <w:t>los distintos grupos económicos juegan a quedarse con lo más rentable del patrimonio nacional con la complicidad manifiesta de los grandes medios, y de la mayoría de</w:t>
      </w:r>
      <w:r w:rsidR="008130F1">
        <w:rPr>
          <w:rFonts w:ascii="Arial" w:hAnsi="Arial" w:cs="Arial"/>
          <w:sz w:val="24"/>
          <w:szCs w:val="24"/>
        </w:rPr>
        <w:t xml:space="preserve"> </w:t>
      </w:r>
      <w:r w:rsidR="00807F91" w:rsidRPr="00A36312">
        <w:rPr>
          <w:rFonts w:ascii="Arial" w:hAnsi="Arial" w:cs="Arial"/>
          <w:sz w:val="24"/>
          <w:szCs w:val="24"/>
        </w:rPr>
        <w:t>los supuestos representantes políticos y sindicales.</w:t>
      </w:r>
    </w:p>
    <w:p w14:paraId="092F2DBC" w14:textId="71FA2D15" w:rsidR="00312F75" w:rsidRDefault="00312F75" w:rsidP="004C2173">
      <w:pPr>
        <w:pStyle w:val="Prrafodelista"/>
        <w:numPr>
          <w:ilvl w:val="0"/>
          <w:numId w:val="13"/>
        </w:numPr>
        <w:spacing w:line="240" w:lineRule="auto"/>
        <w:jc w:val="both"/>
        <w:rPr>
          <w:rFonts w:ascii="Arial" w:hAnsi="Arial" w:cs="Arial"/>
          <w:sz w:val="24"/>
          <w:szCs w:val="24"/>
        </w:rPr>
      </w:pPr>
      <w:r>
        <w:rPr>
          <w:rFonts w:ascii="Arial" w:hAnsi="Arial" w:cs="Arial"/>
          <w:sz w:val="24"/>
          <w:szCs w:val="24"/>
        </w:rPr>
        <w:t>Mientras los capitalistas locales buscan una mejora en su posición, lo hacen en desmedro de la población, se han reconvertido en extractivistas y buscan ser socios del gran capital financiero, pero poniendo ellos al presidente de la república (después que financiaron a  Milei y lo pregonaron por todos los medios a su alcance, éste no les atiende el teléfono).  Tienen en el caso de llamarse a una Asamblea Legislativa que destituya a Milei, un amplio especto de candidatos entre Gobernadores, Senadores y Diputados, empezando por Victoria Villaruel.</w:t>
      </w:r>
    </w:p>
    <w:p w14:paraId="69B758D3" w14:textId="77777777" w:rsidR="00312F75" w:rsidRDefault="00312F75" w:rsidP="004C2173">
      <w:pPr>
        <w:pStyle w:val="Prrafodelista"/>
        <w:numPr>
          <w:ilvl w:val="0"/>
          <w:numId w:val="13"/>
        </w:numPr>
        <w:spacing w:line="240" w:lineRule="auto"/>
        <w:jc w:val="both"/>
        <w:rPr>
          <w:rFonts w:ascii="Arial" w:hAnsi="Arial" w:cs="Arial"/>
          <w:sz w:val="24"/>
          <w:szCs w:val="24"/>
        </w:rPr>
      </w:pPr>
      <w:r>
        <w:rPr>
          <w:rFonts w:ascii="Arial" w:hAnsi="Arial" w:cs="Arial"/>
          <w:sz w:val="24"/>
          <w:szCs w:val="24"/>
        </w:rPr>
        <w:t xml:space="preserve"> El campo nacional y popular no tiene propuesta, no alcanza a visualizar la gravedad de la etapa, un país con alimentos y energía y tiene el 50% de su población bajo la línea de pobreza, y se va a seguir profundizando en una economía cada vez más dual (una minoría cada vez más rica, y una mayoría cada vez más pobre) </w:t>
      </w:r>
    </w:p>
    <w:p w14:paraId="3CAB3A25" w14:textId="2282BC51" w:rsidR="00312F75" w:rsidRPr="00312F75" w:rsidRDefault="00312F75" w:rsidP="004C2173">
      <w:pPr>
        <w:pStyle w:val="Prrafodelista"/>
        <w:numPr>
          <w:ilvl w:val="0"/>
          <w:numId w:val="13"/>
        </w:numPr>
        <w:spacing w:line="240" w:lineRule="auto"/>
        <w:jc w:val="both"/>
        <w:rPr>
          <w:rFonts w:ascii="Arial" w:hAnsi="Arial" w:cs="Arial"/>
          <w:sz w:val="24"/>
          <w:szCs w:val="24"/>
        </w:rPr>
      </w:pPr>
      <w:r>
        <w:rPr>
          <w:rFonts w:ascii="Arial" w:hAnsi="Arial" w:cs="Arial"/>
          <w:sz w:val="24"/>
          <w:szCs w:val="24"/>
        </w:rPr>
        <w:t>El bajo nivel de consciencia de nuestro pueblo se refl</w:t>
      </w:r>
      <w:r w:rsidRPr="00312F75">
        <w:rPr>
          <w:rFonts w:ascii="Arial" w:hAnsi="Arial" w:cs="Arial"/>
          <w:sz w:val="24"/>
          <w:szCs w:val="24"/>
        </w:rPr>
        <w:t>e</w:t>
      </w:r>
      <w:r>
        <w:rPr>
          <w:rFonts w:ascii="Arial" w:hAnsi="Arial" w:cs="Arial"/>
          <w:sz w:val="24"/>
          <w:szCs w:val="24"/>
        </w:rPr>
        <w:t>j</w:t>
      </w:r>
      <w:r w:rsidRPr="00312F75">
        <w:rPr>
          <w:rFonts w:ascii="Arial" w:hAnsi="Arial" w:cs="Arial"/>
          <w:sz w:val="24"/>
          <w:szCs w:val="24"/>
        </w:rPr>
        <w:t>a nítidamente en el bajo nivel d</w:t>
      </w:r>
      <w:r>
        <w:rPr>
          <w:rFonts w:ascii="Arial" w:hAnsi="Arial" w:cs="Arial"/>
          <w:sz w:val="24"/>
          <w:szCs w:val="24"/>
        </w:rPr>
        <w:t xml:space="preserve">e </w:t>
      </w:r>
      <w:r w:rsidRPr="00312F75">
        <w:rPr>
          <w:rFonts w:ascii="Arial" w:hAnsi="Arial" w:cs="Arial"/>
          <w:sz w:val="24"/>
          <w:szCs w:val="24"/>
        </w:rPr>
        <w:t xml:space="preserve">organización, debiendo confiar </w:t>
      </w:r>
      <w:r>
        <w:rPr>
          <w:rFonts w:ascii="Arial" w:hAnsi="Arial" w:cs="Arial"/>
          <w:sz w:val="24"/>
          <w:szCs w:val="24"/>
        </w:rPr>
        <w:t xml:space="preserve">en un sector u otro del poder económico y en sus representantes políticos, sociales y gremiales </w:t>
      </w:r>
    </w:p>
    <w:p w14:paraId="7072BF1E" w14:textId="3A0E80CF" w:rsidR="006D42A8" w:rsidRDefault="006D42A8" w:rsidP="006D42A8">
      <w:pPr>
        <w:pStyle w:val="Prrafodelista"/>
        <w:spacing w:line="240" w:lineRule="auto"/>
        <w:jc w:val="both"/>
        <w:rPr>
          <w:rFonts w:ascii="Arial" w:hAnsi="Arial" w:cs="Arial"/>
          <w:sz w:val="24"/>
          <w:szCs w:val="24"/>
        </w:rPr>
      </w:pPr>
    </w:p>
    <w:p w14:paraId="70D2E259" w14:textId="77777777" w:rsidR="00312F75" w:rsidRPr="006D42A8" w:rsidRDefault="00312F75" w:rsidP="006D42A8">
      <w:pPr>
        <w:pStyle w:val="Prrafodelista"/>
        <w:spacing w:line="240" w:lineRule="auto"/>
        <w:jc w:val="both"/>
        <w:rPr>
          <w:rFonts w:ascii="Arial" w:hAnsi="Arial" w:cs="Arial"/>
          <w:sz w:val="24"/>
          <w:szCs w:val="24"/>
        </w:rPr>
      </w:pPr>
    </w:p>
    <w:sectPr w:rsidR="00312F75" w:rsidRPr="006D42A8" w:rsidSect="00D26B79">
      <w:pgSz w:w="11907" w:h="16839"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950CA" w14:textId="77777777" w:rsidR="00581894" w:rsidRDefault="00581894" w:rsidP="00376267">
      <w:pPr>
        <w:spacing w:after="0" w:line="240" w:lineRule="auto"/>
      </w:pPr>
      <w:r>
        <w:separator/>
      </w:r>
    </w:p>
  </w:endnote>
  <w:endnote w:type="continuationSeparator" w:id="0">
    <w:p w14:paraId="4629A10A" w14:textId="77777777" w:rsidR="00581894" w:rsidRDefault="00581894" w:rsidP="00376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300">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EE359" w14:textId="77777777" w:rsidR="00581894" w:rsidRDefault="00581894" w:rsidP="00376267">
      <w:pPr>
        <w:spacing w:after="0" w:line="240" w:lineRule="auto"/>
      </w:pPr>
      <w:r>
        <w:separator/>
      </w:r>
    </w:p>
  </w:footnote>
  <w:footnote w:type="continuationSeparator" w:id="0">
    <w:p w14:paraId="2902C6D6" w14:textId="77777777" w:rsidR="00581894" w:rsidRDefault="00581894" w:rsidP="00376267">
      <w:pPr>
        <w:spacing w:after="0" w:line="240" w:lineRule="auto"/>
      </w:pPr>
      <w:r>
        <w:continuationSeparator/>
      </w:r>
    </w:p>
  </w:footnote>
  <w:footnote w:id="1">
    <w:p w14:paraId="28514944" w14:textId="77777777" w:rsidR="00AD7663" w:rsidRPr="00257AAD" w:rsidRDefault="00AD7663" w:rsidP="00AD7663">
      <w:pPr>
        <w:pStyle w:val="Textonotapie"/>
        <w:jc w:val="both"/>
        <w:rPr>
          <w:lang w:val="es-MX"/>
        </w:rPr>
      </w:pPr>
      <w:r>
        <w:rPr>
          <w:rStyle w:val="Refdenotaalpie"/>
        </w:rPr>
        <w:footnoteRef/>
      </w:r>
      <w:r>
        <w:t xml:space="preserve"> </w:t>
      </w:r>
      <w:r>
        <w:rPr>
          <w:lang w:val="es-MX"/>
        </w:rPr>
        <w:t xml:space="preserve">Servicios </w:t>
      </w:r>
      <w:r w:rsidRPr="00257AAD">
        <w:rPr>
          <w:lang w:val="es-MX"/>
        </w:rPr>
        <w:t>reales:  Fletes, seguros, royalties, turismo, comunicación, etc.  Serv</w:t>
      </w:r>
      <w:r>
        <w:rPr>
          <w:lang w:val="es-MX"/>
        </w:rPr>
        <w:t>i</w:t>
      </w:r>
      <w:r w:rsidRPr="00257AAD">
        <w:rPr>
          <w:lang w:val="es-MX"/>
        </w:rPr>
        <w:t xml:space="preserve">cios financieros:  Intereses de la deuda y giro </w:t>
      </w:r>
      <w:r>
        <w:rPr>
          <w:lang w:val="es-MX"/>
        </w:rPr>
        <w:t xml:space="preserve">de utilidades de las casas extranjeras a sus casas matrices) </w:t>
      </w:r>
    </w:p>
  </w:footnote>
  <w:footnote w:id="2">
    <w:p w14:paraId="51748234" w14:textId="77777777" w:rsidR="00AD7663" w:rsidRPr="00DC0CB6" w:rsidRDefault="00AD7663" w:rsidP="00AD7663">
      <w:pPr>
        <w:pStyle w:val="Textonotapie"/>
        <w:rPr>
          <w:lang w:val="es-MX"/>
        </w:rPr>
      </w:pPr>
      <w:r>
        <w:rPr>
          <w:rStyle w:val="Refdenotaalpie"/>
        </w:rPr>
        <w:footnoteRef/>
      </w:r>
      <w:r>
        <w:t xml:space="preserve"> </w:t>
      </w:r>
      <w:r>
        <w:rPr>
          <w:lang w:val="es-MX"/>
        </w:rPr>
        <w:t xml:space="preserve">El “blanqueo” de capitales por más de 23.000 millones de dólares lo demuestra cabalmente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70208"/>
    <w:multiLevelType w:val="hybridMultilevel"/>
    <w:tmpl w:val="899EECB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A87425"/>
    <w:multiLevelType w:val="hybridMultilevel"/>
    <w:tmpl w:val="559833C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C64D7A"/>
    <w:multiLevelType w:val="hybridMultilevel"/>
    <w:tmpl w:val="9EFA4EA4"/>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FB0EA3"/>
    <w:multiLevelType w:val="multilevel"/>
    <w:tmpl w:val="4F7A6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3298B"/>
    <w:multiLevelType w:val="hybridMultilevel"/>
    <w:tmpl w:val="D4DEF08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91000CD"/>
    <w:multiLevelType w:val="hybridMultilevel"/>
    <w:tmpl w:val="49D4E036"/>
    <w:lvl w:ilvl="0" w:tplc="89F28F0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29FB4DCB"/>
    <w:multiLevelType w:val="hybridMultilevel"/>
    <w:tmpl w:val="9202DCC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EAE0761"/>
    <w:multiLevelType w:val="hybridMultilevel"/>
    <w:tmpl w:val="E90045F2"/>
    <w:lvl w:ilvl="0" w:tplc="0C0A0017">
      <w:start w:val="1"/>
      <w:numFmt w:val="lowerLetter"/>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5F00345"/>
    <w:multiLevelType w:val="hybridMultilevel"/>
    <w:tmpl w:val="4E8CC232"/>
    <w:lvl w:ilvl="0" w:tplc="AA02C0EA">
      <w:start w:val="1"/>
      <w:numFmt w:val="low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9" w15:restartNumberingAfterBreak="0">
    <w:nsid w:val="47072DC1"/>
    <w:multiLevelType w:val="hybridMultilevel"/>
    <w:tmpl w:val="C8A623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064D5B"/>
    <w:multiLevelType w:val="hybridMultilevel"/>
    <w:tmpl w:val="08F85C40"/>
    <w:lvl w:ilvl="0" w:tplc="68E6BBB6">
      <w:start w:val="1"/>
      <w:numFmt w:val="upperLetter"/>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B1C0044"/>
    <w:multiLevelType w:val="hybridMultilevel"/>
    <w:tmpl w:val="F44ED5A8"/>
    <w:lvl w:ilvl="0" w:tplc="42900D7E">
      <w:numFmt w:val="bullet"/>
      <w:lvlText w:val="-"/>
      <w:lvlJc w:val="left"/>
      <w:pPr>
        <w:ind w:left="720" w:hanging="360"/>
      </w:pPr>
      <w:rPr>
        <w:rFonts w:ascii="Arial" w:eastAsiaTheme="minorHAns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5967595"/>
    <w:multiLevelType w:val="multilevel"/>
    <w:tmpl w:val="5D60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AF493E"/>
    <w:multiLevelType w:val="hybridMultilevel"/>
    <w:tmpl w:val="20D842A4"/>
    <w:lvl w:ilvl="0" w:tplc="0C0A0017">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ADE64B8"/>
    <w:multiLevelType w:val="hybridMultilevel"/>
    <w:tmpl w:val="244CDDE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23473412">
    <w:abstractNumId w:val="11"/>
  </w:num>
  <w:num w:numId="2" w16cid:durableId="1824195986">
    <w:abstractNumId w:val="2"/>
  </w:num>
  <w:num w:numId="3" w16cid:durableId="416831050">
    <w:abstractNumId w:val="7"/>
  </w:num>
  <w:num w:numId="4" w16cid:durableId="38287622">
    <w:abstractNumId w:val="1"/>
  </w:num>
  <w:num w:numId="5" w16cid:durableId="1683624973">
    <w:abstractNumId w:val="4"/>
  </w:num>
  <w:num w:numId="6" w16cid:durableId="876623844">
    <w:abstractNumId w:val="12"/>
  </w:num>
  <w:num w:numId="7" w16cid:durableId="2058625802">
    <w:abstractNumId w:val="3"/>
  </w:num>
  <w:num w:numId="8" w16cid:durableId="2145467671">
    <w:abstractNumId w:val="0"/>
  </w:num>
  <w:num w:numId="9" w16cid:durableId="38559074">
    <w:abstractNumId w:val="9"/>
  </w:num>
  <w:num w:numId="10" w16cid:durableId="1829596565">
    <w:abstractNumId w:val="5"/>
  </w:num>
  <w:num w:numId="11" w16cid:durableId="274214086">
    <w:abstractNumId w:val="13"/>
  </w:num>
  <w:num w:numId="12" w16cid:durableId="1918975193">
    <w:abstractNumId w:val="14"/>
  </w:num>
  <w:num w:numId="13" w16cid:durableId="2087611430">
    <w:abstractNumId w:val="6"/>
  </w:num>
  <w:num w:numId="14" w16cid:durableId="1939949120">
    <w:abstractNumId w:val="10"/>
  </w:num>
  <w:num w:numId="15" w16cid:durableId="12110680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C1"/>
    <w:rsid w:val="000030F9"/>
    <w:rsid w:val="00011F9F"/>
    <w:rsid w:val="00012D7E"/>
    <w:rsid w:val="00015F22"/>
    <w:rsid w:val="00020124"/>
    <w:rsid w:val="00020797"/>
    <w:rsid w:val="0002160D"/>
    <w:rsid w:val="000219BD"/>
    <w:rsid w:val="00032385"/>
    <w:rsid w:val="00046503"/>
    <w:rsid w:val="00056104"/>
    <w:rsid w:val="00063A3D"/>
    <w:rsid w:val="00076E0B"/>
    <w:rsid w:val="00080FB5"/>
    <w:rsid w:val="000823F0"/>
    <w:rsid w:val="00087056"/>
    <w:rsid w:val="000956F1"/>
    <w:rsid w:val="00095E20"/>
    <w:rsid w:val="00096737"/>
    <w:rsid w:val="00096D07"/>
    <w:rsid w:val="000975A8"/>
    <w:rsid w:val="000A11C1"/>
    <w:rsid w:val="000A1C9C"/>
    <w:rsid w:val="000A3BDF"/>
    <w:rsid w:val="000A67BB"/>
    <w:rsid w:val="000C279E"/>
    <w:rsid w:val="000E2C46"/>
    <w:rsid w:val="000F0844"/>
    <w:rsid w:val="00103DC7"/>
    <w:rsid w:val="0010454D"/>
    <w:rsid w:val="0011604B"/>
    <w:rsid w:val="0013254E"/>
    <w:rsid w:val="001326C2"/>
    <w:rsid w:val="00151FB9"/>
    <w:rsid w:val="00153C44"/>
    <w:rsid w:val="001552F9"/>
    <w:rsid w:val="00161C86"/>
    <w:rsid w:val="0016434D"/>
    <w:rsid w:val="001872A3"/>
    <w:rsid w:val="001966E5"/>
    <w:rsid w:val="001A03DF"/>
    <w:rsid w:val="001A2033"/>
    <w:rsid w:val="001A325F"/>
    <w:rsid w:val="001A44DF"/>
    <w:rsid w:val="001A62D5"/>
    <w:rsid w:val="001B5165"/>
    <w:rsid w:val="001C1631"/>
    <w:rsid w:val="001D6D4A"/>
    <w:rsid w:val="001E1963"/>
    <w:rsid w:val="001E53E3"/>
    <w:rsid w:val="001F05AC"/>
    <w:rsid w:val="002110F7"/>
    <w:rsid w:val="002170F9"/>
    <w:rsid w:val="00224F4F"/>
    <w:rsid w:val="0022637C"/>
    <w:rsid w:val="00234614"/>
    <w:rsid w:val="00241251"/>
    <w:rsid w:val="002441D6"/>
    <w:rsid w:val="00251385"/>
    <w:rsid w:val="0025246D"/>
    <w:rsid w:val="00255765"/>
    <w:rsid w:val="00257AAD"/>
    <w:rsid w:val="00264A24"/>
    <w:rsid w:val="002664E9"/>
    <w:rsid w:val="002715A7"/>
    <w:rsid w:val="002726C6"/>
    <w:rsid w:val="002819AD"/>
    <w:rsid w:val="0028668C"/>
    <w:rsid w:val="002A2CBF"/>
    <w:rsid w:val="002A3C03"/>
    <w:rsid w:val="002A532A"/>
    <w:rsid w:val="002B1608"/>
    <w:rsid w:val="002B2A08"/>
    <w:rsid w:val="002C7065"/>
    <w:rsid w:val="002D014C"/>
    <w:rsid w:val="002D3129"/>
    <w:rsid w:val="002D7E20"/>
    <w:rsid w:val="002E11E6"/>
    <w:rsid w:val="002E371B"/>
    <w:rsid w:val="002F0D8D"/>
    <w:rsid w:val="00303456"/>
    <w:rsid w:val="003055B8"/>
    <w:rsid w:val="00312F75"/>
    <w:rsid w:val="003179FE"/>
    <w:rsid w:val="0033111D"/>
    <w:rsid w:val="00341538"/>
    <w:rsid w:val="0035221B"/>
    <w:rsid w:val="00365210"/>
    <w:rsid w:val="0037027E"/>
    <w:rsid w:val="00374B41"/>
    <w:rsid w:val="00376267"/>
    <w:rsid w:val="0037732D"/>
    <w:rsid w:val="003823C1"/>
    <w:rsid w:val="00382C55"/>
    <w:rsid w:val="0038557D"/>
    <w:rsid w:val="00386884"/>
    <w:rsid w:val="00387B74"/>
    <w:rsid w:val="0039629E"/>
    <w:rsid w:val="003A3188"/>
    <w:rsid w:val="003A6673"/>
    <w:rsid w:val="003B38B2"/>
    <w:rsid w:val="003B5250"/>
    <w:rsid w:val="003C713E"/>
    <w:rsid w:val="003D0994"/>
    <w:rsid w:val="003D251B"/>
    <w:rsid w:val="003D33F7"/>
    <w:rsid w:val="003E1130"/>
    <w:rsid w:val="003E3065"/>
    <w:rsid w:val="003F00BB"/>
    <w:rsid w:val="003F1418"/>
    <w:rsid w:val="00400C88"/>
    <w:rsid w:val="00402E6F"/>
    <w:rsid w:val="004031D0"/>
    <w:rsid w:val="00413908"/>
    <w:rsid w:val="00414E4F"/>
    <w:rsid w:val="00426A5E"/>
    <w:rsid w:val="00427730"/>
    <w:rsid w:val="00427F3A"/>
    <w:rsid w:val="00432749"/>
    <w:rsid w:val="00434828"/>
    <w:rsid w:val="00435B4D"/>
    <w:rsid w:val="0044490B"/>
    <w:rsid w:val="004453FD"/>
    <w:rsid w:val="00445D12"/>
    <w:rsid w:val="00446F57"/>
    <w:rsid w:val="00452DE0"/>
    <w:rsid w:val="00457290"/>
    <w:rsid w:val="00462210"/>
    <w:rsid w:val="00464909"/>
    <w:rsid w:val="00473F5F"/>
    <w:rsid w:val="00474A4F"/>
    <w:rsid w:val="0048175E"/>
    <w:rsid w:val="0048287C"/>
    <w:rsid w:val="004863F0"/>
    <w:rsid w:val="004938EE"/>
    <w:rsid w:val="004A1784"/>
    <w:rsid w:val="004A1ADD"/>
    <w:rsid w:val="004A34BF"/>
    <w:rsid w:val="004A4616"/>
    <w:rsid w:val="004A7379"/>
    <w:rsid w:val="004B63C5"/>
    <w:rsid w:val="004B7E6A"/>
    <w:rsid w:val="004C2173"/>
    <w:rsid w:val="004C2652"/>
    <w:rsid w:val="004C305A"/>
    <w:rsid w:val="004C7E57"/>
    <w:rsid w:val="004D201B"/>
    <w:rsid w:val="004D3E0B"/>
    <w:rsid w:val="004D753C"/>
    <w:rsid w:val="004E59E9"/>
    <w:rsid w:val="004F02F9"/>
    <w:rsid w:val="004F17E2"/>
    <w:rsid w:val="004F3389"/>
    <w:rsid w:val="004F5220"/>
    <w:rsid w:val="00501A1E"/>
    <w:rsid w:val="00503120"/>
    <w:rsid w:val="00503C32"/>
    <w:rsid w:val="00503CE5"/>
    <w:rsid w:val="0050789A"/>
    <w:rsid w:val="005100AD"/>
    <w:rsid w:val="00515AF9"/>
    <w:rsid w:val="00533C30"/>
    <w:rsid w:val="00547CC9"/>
    <w:rsid w:val="00553ABC"/>
    <w:rsid w:val="00554B34"/>
    <w:rsid w:val="00565375"/>
    <w:rsid w:val="00573259"/>
    <w:rsid w:val="0057395C"/>
    <w:rsid w:val="00574CC0"/>
    <w:rsid w:val="0057705E"/>
    <w:rsid w:val="0058034A"/>
    <w:rsid w:val="00581894"/>
    <w:rsid w:val="005905CD"/>
    <w:rsid w:val="00591DAE"/>
    <w:rsid w:val="00593E3F"/>
    <w:rsid w:val="00594DA9"/>
    <w:rsid w:val="005B1683"/>
    <w:rsid w:val="005B3114"/>
    <w:rsid w:val="005C2754"/>
    <w:rsid w:val="005D0920"/>
    <w:rsid w:val="005D0E4F"/>
    <w:rsid w:val="005D4550"/>
    <w:rsid w:val="005F295B"/>
    <w:rsid w:val="00600BFD"/>
    <w:rsid w:val="00603048"/>
    <w:rsid w:val="00604B49"/>
    <w:rsid w:val="00606FB3"/>
    <w:rsid w:val="0061418F"/>
    <w:rsid w:val="006179D0"/>
    <w:rsid w:val="006202DE"/>
    <w:rsid w:val="006224EF"/>
    <w:rsid w:val="00630731"/>
    <w:rsid w:val="00634028"/>
    <w:rsid w:val="0064538D"/>
    <w:rsid w:val="00646CE8"/>
    <w:rsid w:val="00647401"/>
    <w:rsid w:val="00676A51"/>
    <w:rsid w:val="00681F23"/>
    <w:rsid w:val="0068261F"/>
    <w:rsid w:val="00682C44"/>
    <w:rsid w:val="006906E2"/>
    <w:rsid w:val="00691711"/>
    <w:rsid w:val="00691CC8"/>
    <w:rsid w:val="00693585"/>
    <w:rsid w:val="006A29A0"/>
    <w:rsid w:val="006A3C28"/>
    <w:rsid w:val="006A42FA"/>
    <w:rsid w:val="006B7A12"/>
    <w:rsid w:val="006C1AC0"/>
    <w:rsid w:val="006C29D4"/>
    <w:rsid w:val="006D03D8"/>
    <w:rsid w:val="006D42A8"/>
    <w:rsid w:val="006D4F1F"/>
    <w:rsid w:val="006E0B70"/>
    <w:rsid w:val="006E0D1E"/>
    <w:rsid w:val="006F6E3D"/>
    <w:rsid w:val="0070187E"/>
    <w:rsid w:val="00703A36"/>
    <w:rsid w:val="007077AF"/>
    <w:rsid w:val="00711342"/>
    <w:rsid w:val="0071584B"/>
    <w:rsid w:val="00720248"/>
    <w:rsid w:val="007222ED"/>
    <w:rsid w:val="007238A9"/>
    <w:rsid w:val="007243CB"/>
    <w:rsid w:val="0072683F"/>
    <w:rsid w:val="00732043"/>
    <w:rsid w:val="00734623"/>
    <w:rsid w:val="007369B2"/>
    <w:rsid w:val="00742BA5"/>
    <w:rsid w:val="00752026"/>
    <w:rsid w:val="0075623D"/>
    <w:rsid w:val="00760998"/>
    <w:rsid w:val="0077074B"/>
    <w:rsid w:val="007757EC"/>
    <w:rsid w:val="007767A4"/>
    <w:rsid w:val="007777C1"/>
    <w:rsid w:val="00777C49"/>
    <w:rsid w:val="00777E5D"/>
    <w:rsid w:val="00782709"/>
    <w:rsid w:val="00785CF8"/>
    <w:rsid w:val="00786D10"/>
    <w:rsid w:val="00786F71"/>
    <w:rsid w:val="007903AC"/>
    <w:rsid w:val="00796BD7"/>
    <w:rsid w:val="007A0FD1"/>
    <w:rsid w:val="007A1FED"/>
    <w:rsid w:val="007A211B"/>
    <w:rsid w:val="007A59E0"/>
    <w:rsid w:val="007B5348"/>
    <w:rsid w:val="007D33A2"/>
    <w:rsid w:val="007D6E5D"/>
    <w:rsid w:val="007F2CFF"/>
    <w:rsid w:val="007F7C59"/>
    <w:rsid w:val="00806139"/>
    <w:rsid w:val="00807F91"/>
    <w:rsid w:val="008117EA"/>
    <w:rsid w:val="008130F1"/>
    <w:rsid w:val="008175AD"/>
    <w:rsid w:val="00823EFD"/>
    <w:rsid w:val="00845B10"/>
    <w:rsid w:val="00850202"/>
    <w:rsid w:val="008515F5"/>
    <w:rsid w:val="0085273C"/>
    <w:rsid w:val="008561DA"/>
    <w:rsid w:val="0086407A"/>
    <w:rsid w:val="008652FB"/>
    <w:rsid w:val="0087570E"/>
    <w:rsid w:val="00880E80"/>
    <w:rsid w:val="0088395F"/>
    <w:rsid w:val="008872B0"/>
    <w:rsid w:val="008931BC"/>
    <w:rsid w:val="00895725"/>
    <w:rsid w:val="008A55FC"/>
    <w:rsid w:val="008A6C52"/>
    <w:rsid w:val="008B0286"/>
    <w:rsid w:val="008B54C8"/>
    <w:rsid w:val="008B585F"/>
    <w:rsid w:val="008B6217"/>
    <w:rsid w:val="008C20AB"/>
    <w:rsid w:val="008D7215"/>
    <w:rsid w:val="008E26ED"/>
    <w:rsid w:val="008E5A50"/>
    <w:rsid w:val="008F501F"/>
    <w:rsid w:val="009068B1"/>
    <w:rsid w:val="0091053E"/>
    <w:rsid w:val="0091474E"/>
    <w:rsid w:val="0093322D"/>
    <w:rsid w:val="00933613"/>
    <w:rsid w:val="009534D4"/>
    <w:rsid w:val="00960451"/>
    <w:rsid w:val="0096292C"/>
    <w:rsid w:val="009673EB"/>
    <w:rsid w:val="00972179"/>
    <w:rsid w:val="00973453"/>
    <w:rsid w:val="0097452C"/>
    <w:rsid w:val="00975AF4"/>
    <w:rsid w:val="00980C7B"/>
    <w:rsid w:val="009842EB"/>
    <w:rsid w:val="00984EE8"/>
    <w:rsid w:val="009914C5"/>
    <w:rsid w:val="00995723"/>
    <w:rsid w:val="009A3515"/>
    <w:rsid w:val="009A5608"/>
    <w:rsid w:val="009A7CD4"/>
    <w:rsid w:val="009A7F61"/>
    <w:rsid w:val="009B0CA2"/>
    <w:rsid w:val="009B1697"/>
    <w:rsid w:val="009B4184"/>
    <w:rsid w:val="009B6A50"/>
    <w:rsid w:val="009C46F2"/>
    <w:rsid w:val="009D1724"/>
    <w:rsid w:val="009D50DA"/>
    <w:rsid w:val="009E0131"/>
    <w:rsid w:val="009E1351"/>
    <w:rsid w:val="009E7F38"/>
    <w:rsid w:val="00A0466B"/>
    <w:rsid w:val="00A12A2C"/>
    <w:rsid w:val="00A15552"/>
    <w:rsid w:val="00A26148"/>
    <w:rsid w:val="00A30FF7"/>
    <w:rsid w:val="00A31ED5"/>
    <w:rsid w:val="00A326E0"/>
    <w:rsid w:val="00A36312"/>
    <w:rsid w:val="00A45291"/>
    <w:rsid w:val="00A475D0"/>
    <w:rsid w:val="00A549C8"/>
    <w:rsid w:val="00A5514E"/>
    <w:rsid w:val="00A60742"/>
    <w:rsid w:val="00A66677"/>
    <w:rsid w:val="00A71B28"/>
    <w:rsid w:val="00A75349"/>
    <w:rsid w:val="00A76B70"/>
    <w:rsid w:val="00A85300"/>
    <w:rsid w:val="00A85D34"/>
    <w:rsid w:val="00A97418"/>
    <w:rsid w:val="00AA13FB"/>
    <w:rsid w:val="00AB5680"/>
    <w:rsid w:val="00AC27D4"/>
    <w:rsid w:val="00AC3B68"/>
    <w:rsid w:val="00AC6908"/>
    <w:rsid w:val="00AC69DA"/>
    <w:rsid w:val="00AD1C58"/>
    <w:rsid w:val="00AD266E"/>
    <w:rsid w:val="00AD732F"/>
    <w:rsid w:val="00AD7663"/>
    <w:rsid w:val="00AE1FB6"/>
    <w:rsid w:val="00AE2005"/>
    <w:rsid w:val="00B00313"/>
    <w:rsid w:val="00B0660F"/>
    <w:rsid w:val="00B137B5"/>
    <w:rsid w:val="00B348AE"/>
    <w:rsid w:val="00B34EB2"/>
    <w:rsid w:val="00B403CF"/>
    <w:rsid w:val="00B412EA"/>
    <w:rsid w:val="00B45322"/>
    <w:rsid w:val="00B54FB4"/>
    <w:rsid w:val="00B6606C"/>
    <w:rsid w:val="00B84CA8"/>
    <w:rsid w:val="00BB180E"/>
    <w:rsid w:val="00BD5114"/>
    <w:rsid w:val="00BE0401"/>
    <w:rsid w:val="00C1669A"/>
    <w:rsid w:val="00C33E6E"/>
    <w:rsid w:val="00C34D6C"/>
    <w:rsid w:val="00C422F4"/>
    <w:rsid w:val="00C45343"/>
    <w:rsid w:val="00C52F34"/>
    <w:rsid w:val="00C54DF8"/>
    <w:rsid w:val="00C559FE"/>
    <w:rsid w:val="00C65476"/>
    <w:rsid w:val="00C71910"/>
    <w:rsid w:val="00C730DC"/>
    <w:rsid w:val="00C8294C"/>
    <w:rsid w:val="00C946DF"/>
    <w:rsid w:val="00CA273B"/>
    <w:rsid w:val="00CA7902"/>
    <w:rsid w:val="00CB03C6"/>
    <w:rsid w:val="00CB765B"/>
    <w:rsid w:val="00CC07E7"/>
    <w:rsid w:val="00CC2C30"/>
    <w:rsid w:val="00CC52EA"/>
    <w:rsid w:val="00CD10C5"/>
    <w:rsid w:val="00CF0F1D"/>
    <w:rsid w:val="00CF5BBF"/>
    <w:rsid w:val="00D123D7"/>
    <w:rsid w:val="00D25796"/>
    <w:rsid w:val="00D26B79"/>
    <w:rsid w:val="00D45CB3"/>
    <w:rsid w:val="00D50DA3"/>
    <w:rsid w:val="00D54653"/>
    <w:rsid w:val="00D631F6"/>
    <w:rsid w:val="00D703E4"/>
    <w:rsid w:val="00D96711"/>
    <w:rsid w:val="00D97220"/>
    <w:rsid w:val="00DA595D"/>
    <w:rsid w:val="00DB22EB"/>
    <w:rsid w:val="00DB3F29"/>
    <w:rsid w:val="00DB6194"/>
    <w:rsid w:val="00DC0CB6"/>
    <w:rsid w:val="00DC1CA7"/>
    <w:rsid w:val="00DD009C"/>
    <w:rsid w:val="00DD7BAB"/>
    <w:rsid w:val="00DE0497"/>
    <w:rsid w:val="00DE1D90"/>
    <w:rsid w:val="00DE2377"/>
    <w:rsid w:val="00DE2E57"/>
    <w:rsid w:val="00DE3373"/>
    <w:rsid w:val="00DE4ACA"/>
    <w:rsid w:val="00DF749F"/>
    <w:rsid w:val="00E03660"/>
    <w:rsid w:val="00E10A06"/>
    <w:rsid w:val="00E12E97"/>
    <w:rsid w:val="00E1423A"/>
    <w:rsid w:val="00E14ED1"/>
    <w:rsid w:val="00E163E5"/>
    <w:rsid w:val="00E30C5B"/>
    <w:rsid w:val="00E44573"/>
    <w:rsid w:val="00E466C1"/>
    <w:rsid w:val="00E47A35"/>
    <w:rsid w:val="00E50973"/>
    <w:rsid w:val="00E50E8A"/>
    <w:rsid w:val="00E56F8C"/>
    <w:rsid w:val="00E66205"/>
    <w:rsid w:val="00E71F6A"/>
    <w:rsid w:val="00E72A8E"/>
    <w:rsid w:val="00E73CCC"/>
    <w:rsid w:val="00E81756"/>
    <w:rsid w:val="00E83F23"/>
    <w:rsid w:val="00E86850"/>
    <w:rsid w:val="00E918C4"/>
    <w:rsid w:val="00E9305A"/>
    <w:rsid w:val="00E941F3"/>
    <w:rsid w:val="00EA36CB"/>
    <w:rsid w:val="00EA3A4E"/>
    <w:rsid w:val="00EB261E"/>
    <w:rsid w:val="00EC229F"/>
    <w:rsid w:val="00ED04BB"/>
    <w:rsid w:val="00ED3BF6"/>
    <w:rsid w:val="00ED6AB3"/>
    <w:rsid w:val="00ED7E9A"/>
    <w:rsid w:val="00EE0414"/>
    <w:rsid w:val="00EE4B07"/>
    <w:rsid w:val="00EE5F33"/>
    <w:rsid w:val="00F01247"/>
    <w:rsid w:val="00F020B0"/>
    <w:rsid w:val="00F115A9"/>
    <w:rsid w:val="00F11682"/>
    <w:rsid w:val="00F11727"/>
    <w:rsid w:val="00F331AB"/>
    <w:rsid w:val="00F35636"/>
    <w:rsid w:val="00F406E1"/>
    <w:rsid w:val="00F41822"/>
    <w:rsid w:val="00F46FB7"/>
    <w:rsid w:val="00F475C8"/>
    <w:rsid w:val="00F50F70"/>
    <w:rsid w:val="00F5494F"/>
    <w:rsid w:val="00F5699B"/>
    <w:rsid w:val="00F746B9"/>
    <w:rsid w:val="00F764CB"/>
    <w:rsid w:val="00F764D7"/>
    <w:rsid w:val="00F83A55"/>
    <w:rsid w:val="00F8520A"/>
    <w:rsid w:val="00F85603"/>
    <w:rsid w:val="00F9242E"/>
    <w:rsid w:val="00F94B3F"/>
    <w:rsid w:val="00F97373"/>
    <w:rsid w:val="00FA43E0"/>
    <w:rsid w:val="00FB3E9A"/>
    <w:rsid w:val="00FB625B"/>
    <w:rsid w:val="00FB62E4"/>
    <w:rsid w:val="00FD3D76"/>
    <w:rsid w:val="00FD6830"/>
    <w:rsid w:val="00FE2569"/>
    <w:rsid w:val="00FE5F1E"/>
    <w:rsid w:val="00FF1C4D"/>
    <w:rsid w:val="00FF3040"/>
    <w:rsid w:val="00FF4D7F"/>
    <w:rsid w:val="00FF5F1C"/>
    <w:rsid w:val="00FF71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D0E77"/>
  <w15:docId w15:val="{8976B95A-5255-40AB-B753-155180285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C88"/>
  </w:style>
  <w:style w:type="paragraph" w:styleId="Ttulo2">
    <w:name w:val="heading 2"/>
    <w:basedOn w:val="Normal"/>
    <w:link w:val="Ttulo2Car"/>
    <w:uiPriority w:val="9"/>
    <w:qFormat/>
    <w:rsid w:val="00E14ED1"/>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0660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nhideWhenUsed/>
    <w:rsid w:val="00376267"/>
    <w:pPr>
      <w:spacing w:after="0" w:line="240" w:lineRule="auto"/>
    </w:pPr>
    <w:rPr>
      <w:sz w:val="20"/>
      <w:szCs w:val="20"/>
    </w:rPr>
  </w:style>
  <w:style w:type="character" w:customStyle="1" w:styleId="TextonotapieCar">
    <w:name w:val="Texto nota pie Car"/>
    <w:basedOn w:val="Fuentedeprrafopredeter"/>
    <w:link w:val="Textonotapie"/>
    <w:rsid w:val="00376267"/>
    <w:rPr>
      <w:sz w:val="20"/>
      <w:szCs w:val="20"/>
    </w:rPr>
  </w:style>
  <w:style w:type="character" w:styleId="Refdenotaalpie">
    <w:name w:val="footnote reference"/>
    <w:basedOn w:val="Fuentedeprrafopredeter"/>
    <w:uiPriority w:val="99"/>
    <w:unhideWhenUsed/>
    <w:rsid w:val="00376267"/>
    <w:rPr>
      <w:vertAlign w:val="superscript"/>
    </w:rPr>
  </w:style>
  <w:style w:type="character" w:customStyle="1" w:styleId="Ninguno">
    <w:name w:val="Ninguno"/>
    <w:rsid w:val="007A1FED"/>
  </w:style>
  <w:style w:type="character" w:styleId="Textoennegrita">
    <w:name w:val="Strong"/>
    <w:basedOn w:val="Fuentedeprrafopredeter"/>
    <w:uiPriority w:val="22"/>
    <w:qFormat/>
    <w:rsid w:val="0044490B"/>
    <w:rPr>
      <w:b/>
      <w:bCs/>
    </w:rPr>
  </w:style>
  <w:style w:type="paragraph" w:customStyle="1" w:styleId="yiv4269251135ydp8cc9302dmsofootnotetext">
    <w:name w:val="yiv4269251135ydp8cc9302dmsofootnotetext"/>
    <w:basedOn w:val="Normal"/>
    <w:rsid w:val="006C29D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yiv4269251135ydp2ba4e387msofootnotetext">
    <w:name w:val="yiv4269251135ydp2ba4e387msofootnotetext"/>
    <w:basedOn w:val="Normal"/>
    <w:rsid w:val="006C29D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yiv4269251135ydp227d9915yiv2343254495ydp56278389msofootnotetext">
    <w:name w:val="yiv4269251135ydp227d9915yiv2343254495ydp56278389msofootnotetext"/>
    <w:basedOn w:val="Normal"/>
    <w:rsid w:val="006C29D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yiv4269251135ydp227d9915yiv2343254495ydp56278389ninguno">
    <w:name w:val="yiv4269251135ydp227d9915yiv2343254495ydp56278389ninguno"/>
    <w:basedOn w:val="Fuentedeprrafopredeter"/>
    <w:rsid w:val="006C29D4"/>
  </w:style>
  <w:style w:type="character" w:styleId="nfasis">
    <w:name w:val="Emphasis"/>
    <w:basedOn w:val="Fuentedeprrafopredeter"/>
    <w:uiPriority w:val="20"/>
    <w:qFormat/>
    <w:rsid w:val="00F115A9"/>
    <w:rPr>
      <w:i/>
      <w:iCs/>
    </w:rPr>
  </w:style>
  <w:style w:type="paragraph" w:customStyle="1" w:styleId="Default">
    <w:name w:val="Default"/>
    <w:rsid w:val="0068261F"/>
    <w:pPr>
      <w:autoSpaceDE w:val="0"/>
      <w:autoSpaceDN w:val="0"/>
      <w:adjustRightInd w:val="0"/>
      <w:spacing w:after="0" w:line="240" w:lineRule="auto"/>
    </w:pPr>
    <w:rPr>
      <w:rFonts w:ascii="MuseoSans-300" w:hAnsi="MuseoSans-300" w:cs="MuseoSans-300"/>
      <w:color w:val="000000"/>
      <w:sz w:val="24"/>
      <w:szCs w:val="24"/>
      <w:lang w:val="es-ES"/>
    </w:rPr>
  </w:style>
  <w:style w:type="paragraph" w:styleId="Prrafodelista">
    <w:name w:val="List Paragraph"/>
    <w:basedOn w:val="Normal"/>
    <w:uiPriority w:val="34"/>
    <w:qFormat/>
    <w:rsid w:val="0068261F"/>
    <w:pPr>
      <w:ind w:left="720"/>
      <w:contextualSpacing/>
    </w:pPr>
    <w:rPr>
      <w:lang w:val="es-ES"/>
    </w:rPr>
  </w:style>
  <w:style w:type="character" w:styleId="Hipervnculo">
    <w:name w:val="Hyperlink"/>
    <w:basedOn w:val="Fuentedeprrafopredeter"/>
    <w:uiPriority w:val="99"/>
    <w:unhideWhenUsed/>
    <w:rsid w:val="009A5608"/>
    <w:rPr>
      <w:color w:val="0000FF"/>
      <w:u w:val="single"/>
    </w:rPr>
  </w:style>
  <w:style w:type="character" w:customStyle="1" w:styleId="Ttulo2Car">
    <w:name w:val="Título 2 Car"/>
    <w:basedOn w:val="Fuentedeprrafopredeter"/>
    <w:link w:val="Ttulo2"/>
    <w:uiPriority w:val="9"/>
    <w:rsid w:val="00E14ED1"/>
    <w:rPr>
      <w:rFonts w:ascii="Times New Roman" w:eastAsia="Times New Roman" w:hAnsi="Times New Roman" w:cs="Times New Roman"/>
      <w:b/>
      <w:bCs/>
      <w:sz w:val="36"/>
      <w:szCs w:val="36"/>
      <w:lang w:val="es-ES" w:eastAsia="es-ES"/>
    </w:rPr>
  </w:style>
  <w:style w:type="paragraph" w:customStyle="1" w:styleId="com-paragraph">
    <w:name w:val="com-paragraph"/>
    <w:basedOn w:val="Normal"/>
    <w:rsid w:val="00E14ED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2819AD"/>
    <w:rPr>
      <w:sz w:val="16"/>
      <w:szCs w:val="16"/>
    </w:rPr>
  </w:style>
  <w:style w:type="paragraph" w:styleId="Textocomentario">
    <w:name w:val="annotation text"/>
    <w:basedOn w:val="Normal"/>
    <w:link w:val="TextocomentarioCar"/>
    <w:uiPriority w:val="99"/>
    <w:semiHidden/>
    <w:unhideWhenUsed/>
    <w:rsid w:val="002819A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19AD"/>
    <w:rPr>
      <w:sz w:val="20"/>
      <w:szCs w:val="20"/>
    </w:rPr>
  </w:style>
  <w:style w:type="paragraph" w:styleId="Asuntodelcomentario">
    <w:name w:val="annotation subject"/>
    <w:basedOn w:val="Textocomentario"/>
    <w:next w:val="Textocomentario"/>
    <w:link w:val="AsuntodelcomentarioCar"/>
    <w:uiPriority w:val="99"/>
    <w:semiHidden/>
    <w:unhideWhenUsed/>
    <w:rsid w:val="002819AD"/>
    <w:rPr>
      <w:b/>
      <w:bCs/>
    </w:rPr>
  </w:style>
  <w:style w:type="character" w:customStyle="1" w:styleId="AsuntodelcomentarioCar">
    <w:name w:val="Asunto del comentario Car"/>
    <w:basedOn w:val="TextocomentarioCar"/>
    <w:link w:val="Asuntodelcomentario"/>
    <w:uiPriority w:val="99"/>
    <w:semiHidden/>
    <w:rsid w:val="002819AD"/>
    <w:rPr>
      <w:b/>
      <w:bCs/>
      <w:sz w:val="20"/>
      <w:szCs w:val="20"/>
    </w:rPr>
  </w:style>
  <w:style w:type="character" w:styleId="Mencinsinresolver">
    <w:name w:val="Unresolved Mention"/>
    <w:basedOn w:val="Fuentedeprrafopredeter"/>
    <w:uiPriority w:val="99"/>
    <w:semiHidden/>
    <w:unhideWhenUsed/>
    <w:rsid w:val="00224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77564">
      <w:bodyDiv w:val="1"/>
      <w:marLeft w:val="0"/>
      <w:marRight w:val="0"/>
      <w:marTop w:val="0"/>
      <w:marBottom w:val="0"/>
      <w:divBdr>
        <w:top w:val="none" w:sz="0" w:space="0" w:color="auto"/>
        <w:left w:val="none" w:sz="0" w:space="0" w:color="auto"/>
        <w:bottom w:val="none" w:sz="0" w:space="0" w:color="auto"/>
        <w:right w:val="none" w:sz="0" w:space="0" w:color="auto"/>
      </w:divBdr>
    </w:div>
    <w:div w:id="164250719">
      <w:bodyDiv w:val="1"/>
      <w:marLeft w:val="0"/>
      <w:marRight w:val="0"/>
      <w:marTop w:val="0"/>
      <w:marBottom w:val="0"/>
      <w:divBdr>
        <w:top w:val="none" w:sz="0" w:space="0" w:color="auto"/>
        <w:left w:val="none" w:sz="0" w:space="0" w:color="auto"/>
        <w:bottom w:val="none" w:sz="0" w:space="0" w:color="auto"/>
        <w:right w:val="none" w:sz="0" w:space="0" w:color="auto"/>
      </w:divBdr>
    </w:div>
    <w:div w:id="172770342">
      <w:bodyDiv w:val="1"/>
      <w:marLeft w:val="0"/>
      <w:marRight w:val="0"/>
      <w:marTop w:val="0"/>
      <w:marBottom w:val="0"/>
      <w:divBdr>
        <w:top w:val="none" w:sz="0" w:space="0" w:color="auto"/>
        <w:left w:val="none" w:sz="0" w:space="0" w:color="auto"/>
        <w:bottom w:val="none" w:sz="0" w:space="0" w:color="auto"/>
        <w:right w:val="none" w:sz="0" w:space="0" w:color="auto"/>
      </w:divBdr>
    </w:div>
    <w:div w:id="263810620">
      <w:bodyDiv w:val="1"/>
      <w:marLeft w:val="0"/>
      <w:marRight w:val="0"/>
      <w:marTop w:val="0"/>
      <w:marBottom w:val="0"/>
      <w:divBdr>
        <w:top w:val="none" w:sz="0" w:space="0" w:color="auto"/>
        <w:left w:val="none" w:sz="0" w:space="0" w:color="auto"/>
        <w:bottom w:val="none" w:sz="0" w:space="0" w:color="auto"/>
        <w:right w:val="none" w:sz="0" w:space="0" w:color="auto"/>
      </w:divBdr>
    </w:div>
    <w:div w:id="274411128">
      <w:bodyDiv w:val="1"/>
      <w:marLeft w:val="0"/>
      <w:marRight w:val="0"/>
      <w:marTop w:val="0"/>
      <w:marBottom w:val="0"/>
      <w:divBdr>
        <w:top w:val="none" w:sz="0" w:space="0" w:color="auto"/>
        <w:left w:val="none" w:sz="0" w:space="0" w:color="auto"/>
        <w:bottom w:val="none" w:sz="0" w:space="0" w:color="auto"/>
        <w:right w:val="none" w:sz="0" w:space="0" w:color="auto"/>
      </w:divBdr>
    </w:div>
    <w:div w:id="318191194">
      <w:bodyDiv w:val="1"/>
      <w:marLeft w:val="0"/>
      <w:marRight w:val="0"/>
      <w:marTop w:val="0"/>
      <w:marBottom w:val="0"/>
      <w:divBdr>
        <w:top w:val="none" w:sz="0" w:space="0" w:color="auto"/>
        <w:left w:val="none" w:sz="0" w:space="0" w:color="auto"/>
        <w:bottom w:val="none" w:sz="0" w:space="0" w:color="auto"/>
        <w:right w:val="none" w:sz="0" w:space="0" w:color="auto"/>
      </w:divBdr>
    </w:div>
    <w:div w:id="334919515">
      <w:bodyDiv w:val="1"/>
      <w:marLeft w:val="0"/>
      <w:marRight w:val="0"/>
      <w:marTop w:val="0"/>
      <w:marBottom w:val="0"/>
      <w:divBdr>
        <w:top w:val="none" w:sz="0" w:space="0" w:color="auto"/>
        <w:left w:val="none" w:sz="0" w:space="0" w:color="auto"/>
        <w:bottom w:val="none" w:sz="0" w:space="0" w:color="auto"/>
        <w:right w:val="none" w:sz="0" w:space="0" w:color="auto"/>
      </w:divBdr>
    </w:div>
    <w:div w:id="506140146">
      <w:bodyDiv w:val="1"/>
      <w:marLeft w:val="0"/>
      <w:marRight w:val="0"/>
      <w:marTop w:val="0"/>
      <w:marBottom w:val="0"/>
      <w:divBdr>
        <w:top w:val="none" w:sz="0" w:space="0" w:color="auto"/>
        <w:left w:val="none" w:sz="0" w:space="0" w:color="auto"/>
        <w:bottom w:val="none" w:sz="0" w:space="0" w:color="auto"/>
        <w:right w:val="none" w:sz="0" w:space="0" w:color="auto"/>
      </w:divBdr>
      <w:divsChild>
        <w:div w:id="1602563803">
          <w:marLeft w:val="0"/>
          <w:marRight w:val="216"/>
          <w:marTop w:val="0"/>
          <w:marBottom w:val="0"/>
          <w:divBdr>
            <w:top w:val="none" w:sz="0" w:space="0" w:color="auto"/>
            <w:left w:val="none" w:sz="0" w:space="0" w:color="auto"/>
            <w:bottom w:val="none" w:sz="0" w:space="0" w:color="auto"/>
            <w:right w:val="none" w:sz="0" w:space="0" w:color="auto"/>
          </w:divBdr>
          <w:divsChild>
            <w:div w:id="2011059462">
              <w:marLeft w:val="0"/>
              <w:marRight w:val="0"/>
              <w:marTop w:val="0"/>
              <w:marBottom w:val="0"/>
              <w:divBdr>
                <w:top w:val="none" w:sz="0" w:space="0" w:color="auto"/>
                <w:left w:val="none" w:sz="0" w:space="0" w:color="auto"/>
                <w:bottom w:val="none" w:sz="0" w:space="0" w:color="auto"/>
                <w:right w:val="none" w:sz="0" w:space="0" w:color="auto"/>
              </w:divBdr>
            </w:div>
          </w:divsChild>
        </w:div>
        <w:div w:id="293947183">
          <w:marLeft w:val="0"/>
          <w:marRight w:val="0"/>
          <w:marTop w:val="0"/>
          <w:marBottom w:val="0"/>
          <w:divBdr>
            <w:top w:val="none" w:sz="0" w:space="0" w:color="auto"/>
            <w:left w:val="none" w:sz="0" w:space="0" w:color="auto"/>
            <w:bottom w:val="none" w:sz="0" w:space="0" w:color="auto"/>
            <w:right w:val="none" w:sz="0" w:space="0" w:color="auto"/>
          </w:divBdr>
          <w:divsChild>
            <w:div w:id="195780325">
              <w:marLeft w:val="0"/>
              <w:marRight w:val="0"/>
              <w:marTop w:val="0"/>
              <w:marBottom w:val="0"/>
              <w:divBdr>
                <w:top w:val="none" w:sz="0" w:space="0" w:color="auto"/>
                <w:left w:val="none" w:sz="0" w:space="0" w:color="auto"/>
                <w:bottom w:val="none" w:sz="0" w:space="0" w:color="auto"/>
                <w:right w:val="none" w:sz="0" w:space="0" w:color="auto"/>
              </w:divBdr>
            </w:div>
          </w:divsChild>
        </w:div>
        <w:div w:id="1095249757">
          <w:marLeft w:val="216"/>
          <w:marRight w:val="0"/>
          <w:marTop w:val="0"/>
          <w:marBottom w:val="0"/>
          <w:divBdr>
            <w:top w:val="none" w:sz="0" w:space="0" w:color="auto"/>
            <w:left w:val="none" w:sz="0" w:space="0" w:color="auto"/>
            <w:bottom w:val="none" w:sz="0" w:space="0" w:color="auto"/>
            <w:right w:val="none" w:sz="0" w:space="0" w:color="auto"/>
          </w:divBdr>
          <w:divsChild>
            <w:div w:id="2004313717">
              <w:marLeft w:val="0"/>
              <w:marRight w:val="0"/>
              <w:marTop w:val="0"/>
              <w:marBottom w:val="0"/>
              <w:divBdr>
                <w:top w:val="none" w:sz="0" w:space="0" w:color="auto"/>
                <w:left w:val="none" w:sz="0" w:space="0" w:color="auto"/>
                <w:bottom w:val="none" w:sz="0" w:space="0" w:color="auto"/>
                <w:right w:val="none" w:sz="0" w:space="0" w:color="auto"/>
              </w:divBdr>
            </w:div>
          </w:divsChild>
        </w:div>
        <w:div w:id="1022703170">
          <w:marLeft w:val="0"/>
          <w:marRight w:val="0"/>
          <w:marTop w:val="0"/>
          <w:marBottom w:val="0"/>
          <w:divBdr>
            <w:top w:val="none" w:sz="0" w:space="0" w:color="auto"/>
            <w:left w:val="none" w:sz="0" w:space="0" w:color="auto"/>
            <w:bottom w:val="single" w:sz="6" w:space="0" w:color="C8C8C8"/>
            <w:right w:val="none" w:sz="0" w:space="0" w:color="auto"/>
          </w:divBdr>
          <w:divsChild>
            <w:div w:id="64474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36863">
      <w:bodyDiv w:val="1"/>
      <w:marLeft w:val="0"/>
      <w:marRight w:val="0"/>
      <w:marTop w:val="0"/>
      <w:marBottom w:val="0"/>
      <w:divBdr>
        <w:top w:val="none" w:sz="0" w:space="0" w:color="auto"/>
        <w:left w:val="none" w:sz="0" w:space="0" w:color="auto"/>
        <w:bottom w:val="none" w:sz="0" w:space="0" w:color="auto"/>
        <w:right w:val="none" w:sz="0" w:space="0" w:color="auto"/>
      </w:divBdr>
    </w:div>
    <w:div w:id="831526844">
      <w:bodyDiv w:val="1"/>
      <w:marLeft w:val="0"/>
      <w:marRight w:val="0"/>
      <w:marTop w:val="0"/>
      <w:marBottom w:val="0"/>
      <w:divBdr>
        <w:top w:val="none" w:sz="0" w:space="0" w:color="auto"/>
        <w:left w:val="none" w:sz="0" w:space="0" w:color="auto"/>
        <w:bottom w:val="none" w:sz="0" w:space="0" w:color="auto"/>
        <w:right w:val="none" w:sz="0" w:space="0" w:color="auto"/>
      </w:divBdr>
      <w:divsChild>
        <w:div w:id="886651060">
          <w:marLeft w:val="0"/>
          <w:marRight w:val="0"/>
          <w:marTop w:val="0"/>
          <w:marBottom w:val="0"/>
          <w:divBdr>
            <w:top w:val="none" w:sz="0" w:space="0" w:color="auto"/>
            <w:left w:val="none" w:sz="0" w:space="0" w:color="auto"/>
            <w:bottom w:val="none" w:sz="0" w:space="0" w:color="auto"/>
            <w:right w:val="none" w:sz="0" w:space="0" w:color="auto"/>
          </w:divBdr>
          <w:divsChild>
            <w:div w:id="243301259">
              <w:marLeft w:val="0"/>
              <w:marRight w:val="0"/>
              <w:marTop w:val="0"/>
              <w:marBottom w:val="0"/>
              <w:divBdr>
                <w:top w:val="none" w:sz="0" w:space="0" w:color="auto"/>
                <w:left w:val="none" w:sz="0" w:space="0" w:color="auto"/>
                <w:bottom w:val="none" w:sz="0" w:space="0" w:color="auto"/>
                <w:right w:val="none" w:sz="0" w:space="0" w:color="auto"/>
              </w:divBdr>
              <w:divsChild>
                <w:div w:id="14843866">
                  <w:marLeft w:val="0"/>
                  <w:marRight w:val="0"/>
                  <w:marTop w:val="0"/>
                  <w:marBottom w:val="0"/>
                  <w:divBdr>
                    <w:top w:val="none" w:sz="0" w:space="0" w:color="auto"/>
                    <w:left w:val="none" w:sz="0" w:space="0" w:color="auto"/>
                    <w:bottom w:val="none" w:sz="0" w:space="0" w:color="auto"/>
                    <w:right w:val="none" w:sz="0" w:space="0" w:color="auto"/>
                  </w:divBdr>
                  <w:divsChild>
                    <w:div w:id="1409957642">
                      <w:marLeft w:val="0"/>
                      <w:marRight w:val="0"/>
                      <w:marTop w:val="0"/>
                      <w:marBottom w:val="0"/>
                      <w:divBdr>
                        <w:top w:val="none" w:sz="0" w:space="0" w:color="auto"/>
                        <w:left w:val="none" w:sz="0" w:space="0" w:color="auto"/>
                        <w:bottom w:val="none" w:sz="0" w:space="0" w:color="auto"/>
                        <w:right w:val="none" w:sz="0" w:space="0" w:color="auto"/>
                      </w:divBdr>
                      <w:divsChild>
                        <w:div w:id="379596515">
                          <w:marLeft w:val="0"/>
                          <w:marRight w:val="0"/>
                          <w:marTop w:val="0"/>
                          <w:marBottom w:val="0"/>
                          <w:divBdr>
                            <w:top w:val="none" w:sz="0" w:space="0" w:color="auto"/>
                            <w:left w:val="none" w:sz="0" w:space="0" w:color="auto"/>
                            <w:bottom w:val="none" w:sz="0" w:space="0" w:color="auto"/>
                            <w:right w:val="none" w:sz="0" w:space="0" w:color="auto"/>
                          </w:divBdr>
                          <w:divsChild>
                            <w:div w:id="516240608">
                              <w:marLeft w:val="0"/>
                              <w:marRight w:val="0"/>
                              <w:marTop w:val="0"/>
                              <w:marBottom w:val="0"/>
                              <w:divBdr>
                                <w:top w:val="none" w:sz="0" w:space="0" w:color="auto"/>
                                <w:left w:val="none" w:sz="0" w:space="0" w:color="auto"/>
                                <w:bottom w:val="none" w:sz="0" w:space="0" w:color="auto"/>
                                <w:right w:val="none" w:sz="0" w:space="0" w:color="auto"/>
                              </w:divBdr>
                              <w:divsChild>
                                <w:div w:id="77138635">
                                  <w:marLeft w:val="0"/>
                                  <w:marRight w:val="0"/>
                                  <w:marTop w:val="0"/>
                                  <w:marBottom w:val="0"/>
                                  <w:divBdr>
                                    <w:top w:val="none" w:sz="0" w:space="0" w:color="auto"/>
                                    <w:left w:val="none" w:sz="0" w:space="0" w:color="auto"/>
                                    <w:bottom w:val="none" w:sz="0" w:space="0" w:color="auto"/>
                                    <w:right w:val="none" w:sz="0" w:space="0" w:color="auto"/>
                                  </w:divBdr>
                                  <w:divsChild>
                                    <w:div w:id="120922585">
                                      <w:marLeft w:val="0"/>
                                      <w:marRight w:val="0"/>
                                      <w:marTop w:val="0"/>
                                      <w:marBottom w:val="0"/>
                                      <w:divBdr>
                                        <w:top w:val="none" w:sz="0" w:space="0" w:color="auto"/>
                                        <w:left w:val="none" w:sz="0" w:space="0" w:color="auto"/>
                                        <w:bottom w:val="none" w:sz="0" w:space="0" w:color="auto"/>
                                        <w:right w:val="none" w:sz="0" w:space="0" w:color="auto"/>
                                      </w:divBdr>
                                      <w:divsChild>
                                        <w:div w:id="100609554">
                                          <w:marLeft w:val="0"/>
                                          <w:marRight w:val="0"/>
                                          <w:marTop w:val="0"/>
                                          <w:marBottom w:val="0"/>
                                          <w:divBdr>
                                            <w:top w:val="none" w:sz="0" w:space="0" w:color="auto"/>
                                            <w:left w:val="none" w:sz="0" w:space="0" w:color="auto"/>
                                            <w:bottom w:val="none" w:sz="0" w:space="0" w:color="auto"/>
                                            <w:right w:val="none" w:sz="0" w:space="0" w:color="auto"/>
                                          </w:divBdr>
                                          <w:divsChild>
                                            <w:div w:id="453522142">
                                              <w:marLeft w:val="0"/>
                                              <w:marRight w:val="0"/>
                                              <w:marTop w:val="0"/>
                                              <w:marBottom w:val="0"/>
                                              <w:divBdr>
                                                <w:top w:val="none" w:sz="0" w:space="0" w:color="auto"/>
                                                <w:left w:val="none" w:sz="0" w:space="0" w:color="auto"/>
                                                <w:bottom w:val="none" w:sz="0" w:space="0" w:color="auto"/>
                                                <w:right w:val="none" w:sz="0" w:space="0" w:color="auto"/>
                                              </w:divBdr>
                                              <w:divsChild>
                                                <w:div w:id="405613647">
                                                  <w:marLeft w:val="0"/>
                                                  <w:marRight w:val="0"/>
                                                  <w:marTop w:val="0"/>
                                                  <w:marBottom w:val="0"/>
                                                  <w:divBdr>
                                                    <w:top w:val="none" w:sz="0" w:space="0" w:color="auto"/>
                                                    <w:left w:val="none" w:sz="0" w:space="0" w:color="auto"/>
                                                    <w:bottom w:val="none" w:sz="0" w:space="0" w:color="auto"/>
                                                    <w:right w:val="none" w:sz="0" w:space="0" w:color="auto"/>
                                                  </w:divBdr>
                                                  <w:divsChild>
                                                    <w:div w:id="789856171">
                                                      <w:marLeft w:val="0"/>
                                                      <w:marRight w:val="0"/>
                                                      <w:marTop w:val="0"/>
                                                      <w:marBottom w:val="0"/>
                                                      <w:divBdr>
                                                        <w:top w:val="none" w:sz="0" w:space="0" w:color="auto"/>
                                                        <w:left w:val="none" w:sz="0" w:space="0" w:color="auto"/>
                                                        <w:bottom w:val="none" w:sz="0" w:space="0" w:color="auto"/>
                                                        <w:right w:val="none" w:sz="0" w:space="0" w:color="auto"/>
                                                      </w:divBdr>
                                                    </w:div>
                                                  </w:divsChild>
                                                </w:div>
                                                <w:div w:id="1821648986">
                                                  <w:marLeft w:val="0"/>
                                                  <w:marRight w:val="0"/>
                                                  <w:marTop w:val="0"/>
                                                  <w:marBottom w:val="360"/>
                                                  <w:divBdr>
                                                    <w:top w:val="none" w:sz="0" w:space="0" w:color="auto"/>
                                                    <w:left w:val="none" w:sz="0" w:space="0" w:color="auto"/>
                                                    <w:bottom w:val="none" w:sz="0" w:space="0" w:color="auto"/>
                                                    <w:right w:val="none" w:sz="0" w:space="0" w:color="auto"/>
                                                  </w:divBdr>
                                                </w:div>
                                                <w:div w:id="199714980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046699">
                          <w:marLeft w:val="0"/>
                          <w:marRight w:val="0"/>
                          <w:marTop w:val="0"/>
                          <w:marBottom w:val="0"/>
                          <w:divBdr>
                            <w:top w:val="none" w:sz="0" w:space="0" w:color="auto"/>
                            <w:left w:val="none" w:sz="0" w:space="0" w:color="auto"/>
                            <w:bottom w:val="none" w:sz="0" w:space="0" w:color="auto"/>
                            <w:right w:val="none" w:sz="0" w:space="0" w:color="auto"/>
                          </w:divBdr>
                          <w:divsChild>
                            <w:div w:id="2299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633702">
          <w:marLeft w:val="0"/>
          <w:marRight w:val="0"/>
          <w:marTop w:val="0"/>
          <w:marBottom w:val="0"/>
          <w:divBdr>
            <w:top w:val="none" w:sz="0" w:space="0" w:color="auto"/>
            <w:left w:val="none" w:sz="0" w:space="0" w:color="auto"/>
            <w:bottom w:val="none" w:sz="0" w:space="0" w:color="auto"/>
            <w:right w:val="none" w:sz="0" w:space="0" w:color="auto"/>
          </w:divBdr>
          <w:divsChild>
            <w:div w:id="1936857718">
              <w:marLeft w:val="0"/>
              <w:marRight w:val="0"/>
              <w:marTop w:val="0"/>
              <w:marBottom w:val="0"/>
              <w:divBdr>
                <w:top w:val="none" w:sz="0" w:space="0" w:color="auto"/>
                <w:left w:val="none" w:sz="0" w:space="0" w:color="auto"/>
                <w:bottom w:val="none" w:sz="0" w:space="0" w:color="auto"/>
                <w:right w:val="none" w:sz="0" w:space="0" w:color="auto"/>
              </w:divBdr>
              <w:divsChild>
                <w:div w:id="1900168203">
                  <w:marLeft w:val="0"/>
                  <w:marRight w:val="0"/>
                  <w:marTop w:val="0"/>
                  <w:marBottom w:val="0"/>
                  <w:divBdr>
                    <w:top w:val="none" w:sz="0" w:space="0" w:color="auto"/>
                    <w:left w:val="none" w:sz="0" w:space="0" w:color="auto"/>
                    <w:bottom w:val="none" w:sz="0" w:space="0" w:color="auto"/>
                    <w:right w:val="none" w:sz="0" w:space="0" w:color="auto"/>
                  </w:divBdr>
                  <w:divsChild>
                    <w:div w:id="1654869351">
                      <w:marLeft w:val="0"/>
                      <w:marRight w:val="0"/>
                      <w:marTop w:val="0"/>
                      <w:marBottom w:val="0"/>
                      <w:divBdr>
                        <w:top w:val="none" w:sz="0" w:space="0" w:color="auto"/>
                        <w:left w:val="none" w:sz="0" w:space="0" w:color="auto"/>
                        <w:bottom w:val="none" w:sz="0" w:space="0" w:color="auto"/>
                        <w:right w:val="none" w:sz="0" w:space="0" w:color="auto"/>
                      </w:divBdr>
                      <w:divsChild>
                        <w:div w:id="855118544">
                          <w:marLeft w:val="0"/>
                          <w:marRight w:val="0"/>
                          <w:marTop w:val="0"/>
                          <w:marBottom w:val="0"/>
                          <w:divBdr>
                            <w:top w:val="none" w:sz="0" w:space="0" w:color="auto"/>
                            <w:left w:val="single" w:sz="4" w:space="5" w:color="CCCCCC"/>
                            <w:bottom w:val="none" w:sz="0" w:space="0" w:color="auto"/>
                            <w:right w:val="none" w:sz="0" w:space="0" w:color="auto"/>
                          </w:divBdr>
                          <w:divsChild>
                            <w:div w:id="2087458468">
                              <w:marLeft w:val="0"/>
                              <w:marRight w:val="0"/>
                              <w:marTop w:val="0"/>
                              <w:marBottom w:val="0"/>
                              <w:divBdr>
                                <w:top w:val="none" w:sz="0" w:space="0" w:color="auto"/>
                                <w:left w:val="none" w:sz="0" w:space="0" w:color="auto"/>
                                <w:bottom w:val="none" w:sz="0" w:space="0" w:color="auto"/>
                                <w:right w:val="none" w:sz="0" w:space="0" w:color="auto"/>
                              </w:divBdr>
                              <w:divsChild>
                                <w:div w:id="7808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82383">
                          <w:marLeft w:val="0"/>
                          <w:marRight w:val="0"/>
                          <w:marTop w:val="0"/>
                          <w:marBottom w:val="0"/>
                          <w:divBdr>
                            <w:top w:val="none" w:sz="0" w:space="0" w:color="auto"/>
                            <w:left w:val="none" w:sz="0" w:space="0" w:color="auto"/>
                            <w:bottom w:val="none" w:sz="0" w:space="0" w:color="auto"/>
                            <w:right w:val="none" w:sz="0" w:space="0" w:color="auto"/>
                          </w:divBdr>
                          <w:divsChild>
                            <w:div w:id="748960768">
                              <w:marLeft w:val="0"/>
                              <w:marRight w:val="0"/>
                              <w:marTop w:val="0"/>
                              <w:marBottom w:val="0"/>
                              <w:divBdr>
                                <w:top w:val="none" w:sz="0" w:space="0" w:color="auto"/>
                                <w:left w:val="single" w:sz="4" w:space="5" w:color="CCCCCC"/>
                                <w:bottom w:val="none" w:sz="0" w:space="0" w:color="auto"/>
                                <w:right w:val="none" w:sz="0" w:space="0" w:color="auto"/>
                              </w:divBdr>
                              <w:divsChild>
                                <w:div w:id="443378700">
                                  <w:marLeft w:val="0"/>
                                  <w:marRight w:val="0"/>
                                  <w:marTop w:val="0"/>
                                  <w:marBottom w:val="0"/>
                                  <w:divBdr>
                                    <w:top w:val="none" w:sz="0" w:space="0" w:color="auto"/>
                                    <w:left w:val="none" w:sz="0" w:space="0" w:color="auto"/>
                                    <w:bottom w:val="none" w:sz="0" w:space="0" w:color="auto"/>
                                    <w:right w:val="none" w:sz="0" w:space="0" w:color="auto"/>
                                  </w:divBdr>
                                  <w:divsChild>
                                    <w:div w:id="4164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4502">
                              <w:marLeft w:val="0"/>
                              <w:marRight w:val="0"/>
                              <w:marTop w:val="0"/>
                              <w:marBottom w:val="0"/>
                              <w:divBdr>
                                <w:top w:val="none" w:sz="0" w:space="0" w:color="auto"/>
                                <w:left w:val="single" w:sz="4" w:space="5" w:color="CCCCCC"/>
                                <w:bottom w:val="none" w:sz="0" w:space="0" w:color="auto"/>
                                <w:right w:val="none" w:sz="0" w:space="0" w:color="auto"/>
                              </w:divBdr>
                              <w:divsChild>
                                <w:div w:id="84902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4171">
                      <w:marLeft w:val="0"/>
                      <w:marRight w:val="0"/>
                      <w:marTop w:val="0"/>
                      <w:marBottom w:val="0"/>
                      <w:divBdr>
                        <w:top w:val="none" w:sz="0" w:space="0" w:color="auto"/>
                        <w:left w:val="single" w:sz="4" w:space="5" w:color="CCCCCC"/>
                        <w:bottom w:val="none" w:sz="0" w:space="0" w:color="auto"/>
                        <w:right w:val="none" w:sz="0" w:space="0" w:color="auto"/>
                      </w:divBdr>
                      <w:divsChild>
                        <w:div w:id="608707416">
                          <w:marLeft w:val="0"/>
                          <w:marRight w:val="0"/>
                          <w:marTop w:val="0"/>
                          <w:marBottom w:val="0"/>
                          <w:divBdr>
                            <w:top w:val="none" w:sz="0" w:space="0" w:color="auto"/>
                            <w:left w:val="none" w:sz="0" w:space="0" w:color="auto"/>
                            <w:bottom w:val="none" w:sz="0" w:space="0" w:color="auto"/>
                            <w:right w:val="none" w:sz="0" w:space="0" w:color="auto"/>
                          </w:divBdr>
                          <w:divsChild>
                            <w:div w:id="952978265">
                              <w:marLeft w:val="0"/>
                              <w:marRight w:val="0"/>
                              <w:marTop w:val="0"/>
                              <w:marBottom w:val="0"/>
                              <w:divBdr>
                                <w:top w:val="none" w:sz="0" w:space="0" w:color="auto"/>
                                <w:left w:val="none" w:sz="0" w:space="0" w:color="auto"/>
                                <w:bottom w:val="none" w:sz="0" w:space="0" w:color="auto"/>
                                <w:right w:val="none" w:sz="0" w:space="0" w:color="auto"/>
                              </w:divBdr>
                              <w:divsChild>
                                <w:div w:id="842206013">
                                  <w:marLeft w:val="0"/>
                                  <w:marRight w:val="0"/>
                                  <w:marTop w:val="0"/>
                                  <w:marBottom w:val="0"/>
                                  <w:divBdr>
                                    <w:top w:val="none" w:sz="0" w:space="0" w:color="auto"/>
                                    <w:left w:val="none" w:sz="0" w:space="0" w:color="auto"/>
                                    <w:bottom w:val="none" w:sz="0" w:space="0" w:color="auto"/>
                                    <w:right w:val="none" w:sz="0" w:space="0" w:color="auto"/>
                                  </w:divBdr>
                                </w:div>
                              </w:divsChild>
                            </w:div>
                            <w:div w:id="207939538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424897">
      <w:bodyDiv w:val="1"/>
      <w:marLeft w:val="0"/>
      <w:marRight w:val="0"/>
      <w:marTop w:val="0"/>
      <w:marBottom w:val="0"/>
      <w:divBdr>
        <w:top w:val="none" w:sz="0" w:space="0" w:color="auto"/>
        <w:left w:val="none" w:sz="0" w:space="0" w:color="auto"/>
        <w:bottom w:val="none" w:sz="0" w:space="0" w:color="auto"/>
        <w:right w:val="none" w:sz="0" w:space="0" w:color="auto"/>
      </w:divBdr>
    </w:div>
    <w:div w:id="1035040362">
      <w:bodyDiv w:val="1"/>
      <w:marLeft w:val="0"/>
      <w:marRight w:val="0"/>
      <w:marTop w:val="0"/>
      <w:marBottom w:val="0"/>
      <w:divBdr>
        <w:top w:val="none" w:sz="0" w:space="0" w:color="auto"/>
        <w:left w:val="none" w:sz="0" w:space="0" w:color="auto"/>
        <w:bottom w:val="none" w:sz="0" w:space="0" w:color="auto"/>
        <w:right w:val="none" w:sz="0" w:space="0" w:color="auto"/>
      </w:divBdr>
    </w:div>
    <w:div w:id="1183514933">
      <w:bodyDiv w:val="1"/>
      <w:marLeft w:val="0"/>
      <w:marRight w:val="0"/>
      <w:marTop w:val="0"/>
      <w:marBottom w:val="0"/>
      <w:divBdr>
        <w:top w:val="none" w:sz="0" w:space="0" w:color="auto"/>
        <w:left w:val="none" w:sz="0" w:space="0" w:color="auto"/>
        <w:bottom w:val="none" w:sz="0" w:space="0" w:color="auto"/>
        <w:right w:val="none" w:sz="0" w:space="0" w:color="auto"/>
      </w:divBdr>
    </w:div>
    <w:div w:id="1194879551">
      <w:bodyDiv w:val="1"/>
      <w:marLeft w:val="0"/>
      <w:marRight w:val="0"/>
      <w:marTop w:val="0"/>
      <w:marBottom w:val="0"/>
      <w:divBdr>
        <w:top w:val="none" w:sz="0" w:space="0" w:color="auto"/>
        <w:left w:val="none" w:sz="0" w:space="0" w:color="auto"/>
        <w:bottom w:val="none" w:sz="0" w:space="0" w:color="auto"/>
        <w:right w:val="none" w:sz="0" w:space="0" w:color="auto"/>
      </w:divBdr>
    </w:div>
    <w:div w:id="1228766612">
      <w:bodyDiv w:val="1"/>
      <w:marLeft w:val="0"/>
      <w:marRight w:val="0"/>
      <w:marTop w:val="0"/>
      <w:marBottom w:val="0"/>
      <w:divBdr>
        <w:top w:val="none" w:sz="0" w:space="0" w:color="auto"/>
        <w:left w:val="none" w:sz="0" w:space="0" w:color="auto"/>
        <w:bottom w:val="none" w:sz="0" w:space="0" w:color="auto"/>
        <w:right w:val="none" w:sz="0" w:space="0" w:color="auto"/>
      </w:divBdr>
    </w:div>
    <w:div w:id="1426654058">
      <w:bodyDiv w:val="1"/>
      <w:marLeft w:val="0"/>
      <w:marRight w:val="0"/>
      <w:marTop w:val="0"/>
      <w:marBottom w:val="0"/>
      <w:divBdr>
        <w:top w:val="none" w:sz="0" w:space="0" w:color="auto"/>
        <w:left w:val="none" w:sz="0" w:space="0" w:color="auto"/>
        <w:bottom w:val="none" w:sz="0" w:space="0" w:color="auto"/>
        <w:right w:val="none" w:sz="0" w:space="0" w:color="auto"/>
      </w:divBdr>
    </w:div>
    <w:div w:id="1553729249">
      <w:bodyDiv w:val="1"/>
      <w:marLeft w:val="0"/>
      <w:marRight w:val="0"/>
      <w:marTop w:val="0"/>
      <w:marBottom w:val="0"/>
      <w:divBdr>
        <w:top w:val="none" w:sz="0" w:space="0" w:color="auto"/>
        <w:left w:val="none" w:sz="0" w:space="0" w:color="auto"/>
        <w:bottom w:val="none" w:sz="0" w:space="0" w:color="auto"/>
        <w:right w:val="none" w:sz="0" w:space="0" w:color="auto"/>
      </w:divBdr>
    </w:div>
    <w:div w:id="1720937813">
      <w:bodyDiv w:val="1"/>
      <w:marLeft w:val="0"/>
      <w:marRight w:val="0"/>
      <w:marTop w:val="0"/>
      <w:marBottom w:val="0"/>
      <w:divBdr>
        <w:top w:val="none" w:sz="0" w:space="0" w:color="auto"/>
        <w:left w:val="none" w:sz="0" w:space="0" w:color="auto"/>
        <w:bottom w:val="none" w:sz="0" w:space="0" w:color="auto"/>
        <w:right w:val="none" w:sz="0" w:space="0" w:color="auto"/>
      </w:divBdr>
      <w:divsChild>
        <w:div w:id="1413888451">
          <w:marLeft w:val="0"/>
          <w:marRight w:val="216"/>
          <w:marTop w:val="0"/>
          <w:marBottom w:val="0"/>
          <w:divBdr>
            <w:top w:val="none" w:sz="0" w:space="0" w:color="auto"/>
            <w:left w:val="none" w:sz="0" w:space="0" w:color="auto"/>
            <w:bottom w:val="none" w:sz="0" w:space="0" w:color="auto"/>
            <w:right w:val="none" w:sz="0" w:space="0" w:color="auto"/>
          </w:divBdr>
          <w:divsChild>
            <w:div w:id="2056654561">
              <w:marLeft w:val="0"/>
              <w:marRight w:val="0"/>
              <w:marTop w:val="0"/>
              <w:marBottom w:val="0"/>
              <w:divBdr>
                <w:top w:val="none" w:sz="0" w:space="0" w:color="auto"/>
                <w:left w:val="none" w:sz="0" w:space="0" w:color="auto"/>
                <w:bottom w:val="none" w:sz="0" w:space="0" w:color="auto"/>
                <w:right w:val="none" w:sz="0" w:space="0" w:color="auto"/>
              </w:divBdr>
            </w:div>
          </w:divsChild>
        </w:div>
        <w:div w:id="1494908085">
          <w:marLeft w:val="0"/>
          <w:marRight w:val="0"/>
          <w:marTop w:val="0"/>
          <w:marBottom w:val="0"/>
          <w:divBdr>
            <w:top w:val="none" w:sz="0" w:space="0" w:color="auto"/>
            <w:left w:val="none" w:sz="0" w:space="0" w:color="auto"/>
            <w:bottom w:val="none" w:sz="0" w:space="0" w:color="auto"/>
            <w:right w:val="none" w:sz="0" w:space="0" w:color="auto"/>
          </w:divBdr>
          <w:divsChild>
            <w:div w:id="2118283608">
              <w:marLeft w:val="0"/>
              <w:marRight w:val="0"/>
              <w:marTop w:val="0"/>
              <w:marBottom w:val="0"/>
              <w:divBdr>
                <w:top w:val="none" w:sz="0" w:space="0" w:color="auto"/>
                <w:left w:val="none" w:sz="0" w:space="0" w:color="auto"/>
                <w:bottom w:val="none" w:sz="0" w:space="0" w:color="auto"/>
                <w:right w:val="none" w:sz="0" w:space="0" w:color="auto"/>
              </w:divBdr>
            </w:div>
          </w:divsChild>
        </w:div>
        <w:div w:id="1155953001">
          <w:marLeft w:val="216"/>
          <w:marRight w:val="0"/>
          <w:marTop w:val="0"/>
          <w:marBottom w:val="0"/>
          <w:divBdr>
            <w:top w:val="none" w:sz="0" w:space="0" w:color="auto"/>
            <w:left w:val="none" w:sz="0" w:space="0" w:color="auto"/>
            <w:bottom w:val="none" w:sz="0" w:space="0" w:color="auto"/>
            <w:right w:val="none" w:sz="0" w:space="0" w:color="auto"/>
          </w:divBdr>
          <w:divsChild>
            <w:div w:id="1669404682">
              <w:marLeft w:val="0"/>
              <w:marRight w:val="0"/>
              <w:marTop w:val="0"/>
              <w:marBottom w:val="0"/>
              <w:divBdr>
                <w:top w:val="none" w:sz="0" w:space="0" w:color="auto"/>
                <w:left w:val="none" w:sz="0" w:space="0" w:color="auto"/>
                <w:bottom w:val="none" w:sz="0" w:space="0" w:color="auto"/>
                <w:right w:val="none" w:sz="0" w:space="0" w:color="auto"/>
              </w:divBdr>
            </w:div>
          </w:divsChild>
        </w:div>
        <w:div w:id="872691622">
          <w:marLeft w:val="0"/>
          <w:marRight w:val="0"/>
          <w:marTop w:val="0"/>
          <w:marBottom w:val="0"/>
          <w:divBdr>
            <w:top w:val="none" w:sz="0" w:space="0" w:color="auto"/>
            <w:left w:val="none" w:sz="0" w:space="0" w:color="auto"/>
            <w:bottom w:val="single" w:sz="6" w:space="0" w:color="C8C8C8"/>
            <w:right w:val="none" w:sz="0" w:space="0" w:color="auto"/>
          </w:divBdr>
          <w:divsChild>
            <w:div w:id="190587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89306">
      <w:bodyDiv w:val="1"/>
      <w:marLeft w:val="0"/>
      <w:marRight w:val="0"/>
      <w:marTop w:val="0"/>
      <w:marBottom w:val="0"/>
      <w:divBdr>
        <w:top w:val="none" w:sz="0" w:space="0" w:color="auto"/>
        <w:left w:val="none" w:sz="0" w:space="0" w:color="auto"/>
        <w:bottom w:val="none" w:sz="0" w:space="0" w:color="auto"/>
        <w:right w:val="none" w:sz="0" w:space="0" w:color="auto"/>
      </w:divBdr>
    </w:div>
    <w:div w:id="1999723710">
      <w:bodyDiv w:val="1"/>
      <w:marLeft w:val="0"/>
      <w:marRight w:val="0"/>
      <w:marTop w:val="0"/>
      <w:marBottom w:val="0"/>
      <w:divBdr>
        <w:top w:val="none" w:sz="0" w:space="0" w:color="auto"/>
        <w:left w:val="none" w:sz="0" w:space="0" w:color="auto"/>
        <w:bottom w:val="none" w:sz="0" w:space="0" w:color="auto"/>
        <w:right w:val="none" w:sz="0" w:space="0" w:color="auto"/>
      </w:divBdr>
    </w:div>
    <w:div w:id="2006010958">
      <w:bodyDiv w:val="1"/>
      <w:marLeft w:val="0"/>
      <w:marRight w:val="0"/>
      <w:marTop w:val="0"/>
      <w:marBottom w:val="0"/>
      <w:divBdr>
        <w:top w:val="none" w:sz="0" w:space="0" w:color="auto"/>
        <w:left w:val="none" w:sz="0" w:space="0" w:color="auto"/>
        <w:bottom w:val="none" w:sz="0" w:space="0" w:color="auto"/>
        <w:right w:val="none" w:sz="0" w:space="0" w:color="auto"/>
      </w:divBdr>
    </w:div>
    <w:div w:id="205554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enegocios.com/tags/Trabaj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backup\Documents\Documents\Milei\TIEMPO%20DE%20DESCUENTO.docx.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D75767-4CAC-47DB-AF22-AB5A79F0C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TIEMPO DE DESCUENTO.docx</Template>
  <TotalTime>1</TotalTime>
  <Pages>5</Pages>
  <Words>2312</Words>
  <Characters>12720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2025-03-28T22:17:00Z</dcterms:created>
  <dcterms:modified xsi:type="dcterms:W3CDTF">2025-03-28T22:17:00Z</dcterms:modified>
</cp:coreProperties>
</file>